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A72" w:rsidRDefault="00C00A72">
      <w:pPr>
        <w:tabs>
          <w:tab w:val="left" w:pos="0"/>
        </w:tabs>
        <w:adjustRightInd w:val="0"/>
        <w:spacing w:line="440" w:lineRule="exact"/>
        <w:rPr>
          <w:rFonts w:ascii="仿宋_GB2312" w:eastAsia="仿宋_GB2312" w:hAnsi="仿宋" w:cs="仿宋"/>
          <w:sz w:val="32"/>
          <w:szCs w:val="32"/>
        </w:rPr>
      </w:pPr>
    </w:p>
    <w:p w:rsidR="00C00A72" w:rsidRPr="00C075F0" w:rsidRDefault="006C4FDD">
      <w:pPr>
        <w:adjustRightInd w:val="0"/>
        <w:spacing w:line="440" w:lineRule="exact"/>
        <w:jc w:val="center"/>
        <w:rPr>
          <w:rFonts w:ascii="方正小标宋简体" w:eastAsia="方正小标宋简体" w:hAnsiTheme="minorEastAsia" w:cs="仿宋" w:hint="eastAsia"/>
          <w:sz w:val="44"/>
          <w:szCs w:val="44"/>
        </w:rPr>
      </w:pPr>
      <w:r w:rsidRPr="00C075F0">
        <w:rPr>
          <w:rFonts w:ascii="方正小标宋简体" w:eastAsia="方正小标宋简体" w:hAnsiTheme="minorEastAsia" w:cs="仿宋" w:hint="eastAsia"/>
          <w:bCs/>
          <w:sz w:val="44"/>
          <w:szCs w:val="44"/>
        </w:rPr>
        <w:t>科研处2018年度工作总结</w:t>
      </w:r>
    </w:p>
    <w:p w:rsidR="00C00A72" w:rsidRDefault="00C00A72" w:rsidP="008C41DC">
      <w:pPr>
        <w:adjustRightInd w:val="0"/>
        <w:spacing w:line="440" w:lineRule="exact"/>
        <w:rPr>
          <w:rFonts w:ascii="仿宋_GB2312" w:eastAsia="仿宋_GB2312" w:hAnsi="仿宋" w:cs="仿宋"/>
          <w:sz w:val="32"/>
          <w:szCs w:val="32"/>
        </w:rPr>
      </w:pPr>
    </w:p>
    <w:p w:rsidR="00C00A72" w:rsidRDefault="006C4FDD">
      <w:pPr>
        <w:pStyle w:val="a8"/>
        <w:widowControl/>
        <w:adjustRightInd w:val="0"/>
        <w:snapToGrid w:val="0"/>
        <w:spacing w:before="0" w:beforeAutospacing="0" w:after="0" w:afterAutospacing="0" w:line="360" w:lineRule="auto"/>
        <w:ind w:firstLineChars="200" w:firstLine="640"/>
        <w:jc w:val="both"/>
        <w:rPr>
          <w:rFonts w:ascii="仿宋_GB2312" w:eastAsia="仿宋_GB2312" w:hAnsi="宋体"/>
          <w:sz w:val="32"/>
          <w:szCs w:val="32"/>
        </w:rPr>
      </w:pPr>
      <w:r>
        <w:rPr>
          <w:rFonts w:ascii="仿宋_GB2312" w:eastAsia="仿宋_GB2312" w:hAnsi="仿宋" w:cs="仿宋" w:hint="eastAsia"/>
          <w:sz w:val="32"/>
          <w:szCs w:val="32"/>
        </w:rPr>
        <w:t>2018年度</w:t>
      </w:r>
      <w:r>
        <w:rPr>
          <w:rFonts w:ascii="仿宋_GB2312" w:eastAsia="仿宋_GB2312" w:hAnsi="宋体" w:hint="eastAsia"/>
          <w:sz w:val="32"/>
          <w:szCs w:val="32"/>
        </w:rPr>
        <w:t>，科研处班子在校党政领导班子的带领下，认真践行“十九大”精神，围绕学校“夯基础、强内涵、拓格局、上层次”的工作方针，瞄准</w:t>
      </w:r>
      <w:bookmarkStart w:id="0" w:name="_GoBack"/>
      <w:bookmarkEnd w:id="0"/>
      <w:r>
        <w:rPr>
          <w:rFonts w:ascii="仿宋_GB2312" w:eastAsia="仿宋_GB2312" w:hAnsi="宋体" w:hint="eastAsia"/>
          <w:sz w:val="32"/>
          <w:szCs w:val="32"/>
        </w:rPr>
        <w:t>学校建设特色鲜明、全国地方同类院校一流的教学研究型财经大学和“双一流”建设的战略目标，推出了一系列深化科研改革的相关政策，坚持以国家级项目和青年教师培养为抓手、高水平成果为重心，切实调动科研人员积极性，提高科研项目申报率和成功率，多出成果、快出成果、出好成果，立足科研服务地方经济，加大科研成果转化及应用宣传力度，促进我校科研水平快速提升。</w:t>
      </w:r>
      <w:r>
        <w:rPr>
          <w:rFonts w:ascii="仿宋_GB2312" w:eastAsia="仿宋_GB2312" w:hAnsi="仿宋" w:cs="仿宋" w:hint="eastAsia"/>
          <w:sz w:val="32"/>
          <w:szCs w:val="32"/>
        </w:rPr>
        <w:t>经科研处全体成员和全校教职工的共同努力，取得了一定成绩。2018年度学校主要开展了以下几方面科研工作：</w:t>
      </w:r>
    </w:p>
    <w:p w:rsidR="00C00A72" w:rsidRDefault="006C4FDD">
      <w:pPr>
        <w:adjustRightInd w:val="0"/>
        <w:snapToGrid w:val="0"/>
        <w:spacing w:line="360" w:lineRule="auto"/>
        <w:ind w:firstLineChars="200" w:firstLine="640"/>
        <w:rPr>
          <w:rFonts w:ascii="黑体" w:eastAsia="黑体" w:hAnsi="黑体" w:cs="仿宋"/>
          <w:sz w:val="32"/>
          <w:szCs w:val="32"/>
        </w:rPr>
      </w:pPr>
      <w:r>
        <w:rPr>
          <w:rFonts w:ascii="黑体" w:eastAsia="黑体" w:hAnsi="黑体" w:cs="仿宋" w:hint="eastAsia"/>
          <w:sz w:val="32"/>
          <w:szCs w:val="32"/>
        </w:rPr>
        <w:t>一、积极组织申报，科研项目数量质量获重大突破</w:t>
      </w:r>
    </w:p>
    <w:p w:rsidR="00C00A72" w:rsidRDefault="006C4FDD">
      <w:pPr>
        <w:adjustRightInd w:val="0"/>
        <w:snapToGrid w:val="0"/>
        <w:spacing w:line="360" w:lineRule="auto"/>
        <w:ind w:firstLineChars="200" w:firstLine="640"/>
        <w:rPr>
          <w:rFonts w:ascii="楷体" w:eastAsia="楷体" w:hAnsi="楷体" w:cs="仿宋"/>
          <w:sz w:val="32"/>
          <w:szCs w:val="32"/>
        </w:rPr>
      </w:pPr>
      <w:r>
        <w:rPr>
          <w:rFonts w:ascii="楷体" w:eastAsia="楷体" w:hAnsi="楷体" w:cs="仿宋" w:hint="eastAsia"/>
          <w:sz w:val="32"/>
          <w:szCs w:val="32"/>
        </w:rPr>
        <w:t>1.课题立项及经费</w:t>
      </w:r>
    </w:p>
    <w:p w:rsidR="00C00A72" w:rsidRDefault="006C4FDD">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在校领导的统筹安排、科研处的精心组织和全校教师的共同努力下全校共获准承担各类课题374项。其中，我校在2018年国家级课题立项上取得了历史性重大突破。国家社科基金共获批15项（详见附表）、国家自科基金获批7项（详见附表）。无论在获批数量（总计22项、国家社科年度项目全省排名第2）、获批课题种类（社科5类+自科2类）、学科门类分布（11个学科）、立项经费上均创历史新高。</w:t>
      </w:r>
    </w:p>
    <w:p w:rsidR="00C00A72" w:rsidRDefault="006C4FDD">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教育部课题获批4项；省级课题获批88项；其中，省社科基金47项，科技厅项目28项；厅局级课题获批133项，横向课题53项，校内课题立项83项。科研到账经费2447.23万元,也为历史同期最高。</w:t>
      </w:r>
    </w:p>
    <w:p w:rsidR="00C00A72" w:rsidRDefault="006C4FDD">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2.课题申报组织工作</w:t>
      </w:r>
    </w:p>
    <w:p w:rsidR="00C00A72" w:rsidRDefault="006C4FDD">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学校以国家基金项目申报组织工作为重要抓手，提前部署各级各类课题申报组织工作。出色完成2018年度各级课题申报组织工作后，毫不懈怠，于2018年4月份召开了由校领导主持，各学院院长、副院长、科研骨干参加的科研工作会议，分析了过去一年取得的成绩与不足，部署新一年度的国家项目申报工作。此后又在9月召开了国家级课题表彰大会暨2019年度科研工作推进会,就做好2019年度课题申报组织、人才团队建设等相关事宜分解了任务，制定了初步战略方向。</w:t>
      </w:r>
    </w:p>
    <w:p w:rsidR="00C00A72" w:rsidRDefault="006C4FDD">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科研处积极落实科研工作会议精神，邀请国家课题评审专家来校做讲座传授申报经验，组织各二级学院展开第一轮申报把关工作，各学院从申报课题中遴选出一批选题务实新颖、论述扎实充分，有代表性、创新性、竞争力的课题推荐到科研处，由科研处邀请国家基金项目评委对学院重点推荐的申报书进行二次论证,反馈给申报人后再次进行修改。通过不断修改逐步提高课题申报书的质量，实现冲击国家课题的最终目的。</w:t>
      </w:r>
    </w:p>
    <w:p w:rsidR="00C00A72" w:rsidRDefault="00C00A72">
      <w:pPr>
        <w:adjustRightInd w:val="0"/>
        <w:snapToGrid w:val="0"/>
        <w:spacing w:line="360" w:lineRule="auto"/>
        <w:ind w:firstLineChars="200" w:firstLine="640"/>
        <w:jc w:val="left"/>
        <w:rPr>
          <w:rFonts w:ascii="仿宋_GB2312" w:eastAsia="仿宋_GB2312" w:hAnsi="仿宋" w:cs="仿宋"/>
          <w:sz w:val="32"/>
          <w:szCs w:val="32"/>
        </w:rPr>
      </w:pPr>
    </w:p>
    <w:p w:rsidR="00C00A72" w:rsidRDefault="00C00A72">
      <w:pPr>
        <w:adjustRightInd w:val="0"/>
        <w:snapToGrid w:val="0"/>
        <w:spacing w:line="360" w:lineRule="auto"/>
        <w:ind w:firstLineChars="200" w:firstLine="562"/>
        <w:rPr>
          <w:rFonts w:asciiTheme="minorEastAsia" w:eastAsiaTheme="minorEastAsia" w:hAnsiTheme="minorEastAsia"/>
          <w:b/>
          <w:sz w:val="28"/>
          <w:szCs w:val="28"/>
        </w:rPr>
      </w:pPr>
    </w:p>
    <w:p w:rsidR="00E63098" w:rsidRDefault="00E63098" w:rsidP="00AF434A">
      <w:pPr>
        <w:adjustRightInd w:val="0"/>
        <w:snapToGrid w:val="0"/>
        <w:spacing w:line="360" w:lineRule="auto"/>
        <w:ind w:firstLineChars="350" w:firstLine="984"/>
        <w:rPr>
          <w:rFonts w:asciiTheme="minorEastAsia" w:eastAsiaTheme="minorEastAsia" w:hAnsiTheme="minorEastAsia"/>
          <w:b/>
          <w:sz w:val="28"/>
          <w:szCs w:val="28"/>
        </w:rPr>
      </w:pPr>
    </w:p>
    <w:p w:rsidR="00C00A72" w:rsidRDefault="006C4FDD" w:rsidP="00AF434A">
      <w:pPr>
        <w:adjustRightInd w:val="0"/>
        <w:snapToGrid w:val="0"/>
        <w:spacing w:line="360" w:lineRule="auto"/>
        <w:ind w:firstLineChars="350" w:firstLine="984"/>
        <w:rPr>
          <w:rFonts w:asciiTheme="minorEastAsia" w:eastAsiaTheme="minorEastAsia" w:hAnsiTheme="minorEastAsia"/>
          <w:b/>
          <w:sz w:val="28"/>
          <w:szCs w:val="28"/>
        </w:rPr>
      </w:pPr>
      <w:r>
        <w:rPr>
          <w:rFonts w:asciiTheme="minorEastAsia" w:eastAsiaTheme="minorEastAsia" w:hAnsiTheme="minorEastAsia"/>
          <w:b/>
          <w:sz w:val="28"/>
          <w:szCs w:val="28"/>
        </w:rPr>
        <w:t>20</w:t>
      </w:r>
      <w:r>
        <w:rPr>
          <w:rFonts w:asciiTheme="minorEastAsia" w:eastAsiaTheme="minorEastAsia" w:hAnsiTheme="minorEastAsia" w:hint="eastAsia"/>
          <w:b/>
          <w:sz w:val="28"/>
          <w:szCs w:val="28"/>
        </w:rPr>
        <w:t>18</w:t>
      </w:r>
      <w:r>
        <w:rPr>
          <w:rFonts w:asciiTheme="minorEastAsia" w:eastAsiaTheme="minorEastAsia" w:hAnsiTheme="minorEastAsia"/>
          <w:b/>
          <w:sz w:val="28"/>
          <w:szCs w:val="28"/>
        </w:rPr>
        <w:t>年</w:t>
      </w:r>
      <w:r>
        <w:rPr>
          <w:rFonts w:asciiTheme="minorEastAsia" w:eastAsiaTheme="minorEastAsia" w:hAnsiTheme="minorEastAsia" w:hint="eastAsia"/>
          <w:b/>
          <w:sz w:val="28"/>
          <w:szCs w:val="28"/>
        </w:rPr>
        <w:t>度河北经贸大学</w:t>
      </w:r>
      <w:r>
        <w:rPr>
          <w:rFonts w:asciiTheme="minorEastAsia" w:eastAsiaTheme="minorEastAsia" w:hAnsiTheme="minorEastAsia"/>
          <w:b/>
          <w:sz w:val="28"/>
          <w:szCs w:val="28"/>
        </w:rPr>
        <w:t>承担</w:t>
      </w:r>
      <w:r>
        <w:rPr>
          <w:rFonts w:asciiTheme="minorEastAsia" w:eastAsiaTheme="minorEastAsia" w:hAnsiTheme="minorEastAsia" w:hint="eastAsia"/>
          <w:b/>
          <w:sz w:val="28"/>
          <w:szCs w:val="28"/>
        </w:rPr>
        <w:t>的</w:t>
      </w:r>
      <w:r>
        <w:rPr>
          <w:rFonts w:asciiTheme="minorEastAsia" w:eastAsiaTheme="minorEastAsia" w:hAnsiTheme="minorEastAsia"/>
          <w:b/>
          <w:sz w:val="28"/>
          <w:szCs w:val="28"/>
        </w:rPr>
        <w:t>国家社会科学基金项目</w:t>
      </w: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7"/>
        <w:gridCol w:w="3686"/>
        <w:gridCol w:w="1134"/>
        <w:gridCol w:w="1701"/>
        <w:gridCol w:w="1701"/>
      </w:tblGrid>
      <w:tr w:rsidR="00C00A72" w:rsidTr="00AF434A">
        <w:trPr>
          <w:trHeight w:val="397"/>
        </w:trPr>
        <w:tc>
          <w:tcPr>
            <w:tcW w:w="567" w:type="dxa"/>
            <w:vAlign w:val="center"/>
          </w:tcPr>
          <w:p w:rsidR="00C00A72" w:rsidRDefault="006C4FDD">
            <w:pPr>
              <w:adjustRightInd w:val="0"/>
              <w:snapToGrid w:val="0"/>
              <w:spacing w:line="360" w:lineRule="auto"/>
              <w:jc w:val="center"/>
              <w:rPr>
                <w:rFonts w:cs="Arial"/>
                <w:b/>
                <w:szCs w:val="21"/>
              </w:rPr>
            </w:pPr>
            <w:r>
              <w:rPr>
                <w:rFonts w:cs="Arial" w:hint="eastAsia"/>
                <w:b/>
                <w:szCs w:val="21"/>
              </w:rPr>
              <w:t>序号</w:t>
            </w:r>
          </w:p>
        </w:tc>
        <w:tc>
          <w:tcPr>
            <w:tcW w:w="3686" w:type="dxa"/>
            <w:vAlign w:val="center"/>
          </w:tcPr>
          <w:p w:rsidR="00C00A72" w:rsidRDefault="006C4FDD">
            <w:pPr>
              <w:adjustRightInd w:val="0"/>
              <w:snapToGrid w:val="0"/>
              <w:spacing w:line="360" w:lineRule="auto"/>
              <w:ind w:firstLineChars="700" w:firstLine="1476"/>
              <w:rPr>
                <w:rFonts w:cs="Arial"/>
                <w:b/>
                <w:szCs w:val="21"/>
              </w:rPr>
            </w:pPr>
            <w:r>
              <w:rPr>
                <w:rFonts w:cs="Arial" w:hint="eastAsia"/>
                <w:b/>
                <w:szCs w:val="21"/>
              </w:rPr>
              <w:t>项目名称</w:t>
            </w:r>
          </w:p>
        </w:tc>
        <w:tc>
          <w:tcPr>
            <w:tcW w:w="1134" w:type="dxa"/>
            <w:vAlign w:val="center"/>
          </w:tcPr>
          <w:p w:rsidR="00C00A72" w:rsidRDefault="006C4FDD">
            <w:pPr>
              <w:adjustRightInd w:val="0"/>
              <w:snapToGrid w:val="0"/>
              <w:spacing w:line="360" w:lineRule="auto"/>
              <w:jc w:val="center"/>
              <w:rPr>
                <w:rFonts w:cs="Arial"/>
                <w:b/>
                <w:szCs w:val="21"/>
              </w:rPr>
            </w:pPr>
            <w:r>
              <w:rPr>
                <w:rFonts w:cs="Arial" w:hint="eastAsia"/>
                <w:b/>
                <w:szCs w:val="21"/>
              </w:rPr>
              <w:t>负责</w:t>
            </w:r>
            <w:r>
              <w:rPr>
                <w:rFonts w:cs="Arial"/>
                <w:b/>
                <w:szCs w:val="21"/>
              </w:rPr>
              <w:t>人</w:t>
            </w:r>
          </w:p>
        </w:tc>
        <w:tc>
          <w:tcPr>
            <w:tcW w:w="1701" w:type="dxa"/>
            <w:vAlign w:val="center"/>
          </w:tcPr>
          <w:p w:rsidR="00C00A72" w:rsidRDefault="006C4FDD">
            <w:pPr>
              <w:adjustRightInd w:val="0"/>
              <w:snapToGrid w:val="0"/>
              <w:spacing w:line="360" w:lineRule="auto"/>
              <w:ind w:firstLineChars="200" w:firstLine="422"/>
              <w:jc w:val="left"/>
              <w:rPr>
                <w:rFonts w:cs="Arial"/>
                <w:b/>
                <w:szCs w:val="21"/>
              </w:rPr>
            </w:pPr>
            <w:r>
              <w:rPr>
                <w:rFonts w:cs="Arial" w:hint="eastAsia"/>
                <w:b/>
                <w:szCs w:val="21"/>
              </w:rPr>
              <w:t>项目子类</w:t>
            </w:r>
          </w:p>
        </w:tc>
        <w:tc>
          <w:tcPr>
            <w:tcW w:w="1701" w:type="dxa"/>
            <w:vAlign w:val="center"/>
          </w:tcPr>
          <w:p w:rsidR="00C00A72" w:rsidRDefault="006C4FDD">
            <w:pPr>
              <w:adjustRightInd w:val="0"/>
              <w:snapToGrid w:val="0"/>
              <w:spacing w:line="360" w:lineRule="auto"/>
              <w:ind w:firstLineChars="200" w:firstLine="422"/>
              <w:jc w:val="left"/>
              <w:rPr>
                <w:rFonts w:cs="Arial"/>
                <w:b/>
                <w:szCs w:val="21"/>
              </w:rPr>
            </w:pPr>
            <w:r>
              <w:rPr>
                <w:rFonts w:cs="Arial" w:hint="eastAsia"/>
                <w:b/>
                <w:szCs w:val="21"/>
              </w:rPr>
              <w:t>所属单位</w:t>
            </w:r>
          </w:p>
        </w:tc>
      </w:tr>
      <w:tr w:rsidR="00C00A72" w:rsidTr="00AF434A">
        <w:trPr>
          <w:trHeight w:val="749"/>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1</w:t>
            </w:r>
          </w:p>
        </w:tc>
        <w:tc>
          <w:tcPr>
            <w:tcW w:w="3686" w:type="dxa"/>
            <w:vAlign w:val="center"/>
          </w:tcPr>
          <w:p w:rsidR="00C00A72" w:rsidRDefault="006C4FDD">
            <w:pPr>
              <w:jc w:val="left"/>
              <w:rPr>
                <w:color w:val="000000"/>
                <w:sz w:val="20"/>
                <w:szCs w:val="20"/>
              </w:rPr>
            </w:pPr>
            <w:r>
              <w:rPr>
                <w:rFonts w:hint="eastAsia"/>
                <w:color w:val="000000"/>
                <w:sz w:val="20"/>
                <w:szCs w:val="20"/>
              </w:rPr>
              <w:t>基于拓展货币度量效用函数的居民福利统计评估体系研究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彭国富</w:t>
            </w:r>
          </w:p>
        </w:tc>
        <w:tc>
          <w:tcPr>
            <w:tcW w:w="1701" w:type="dxa"/>
            <w:vAlign w:val="center"/>
          </w:tcPr>
          <w:p w:rsidR="00C00A72" w:rsidRDefault="006C4FDD">
            <w:pPr>
              <w:adjustRightInd w:val="0"/>
              <w:snapToGrid w:val="0"/>
              <w:spacing w:line="360" w:lineRule="auto"/>
              <w:ind w:firstLineChars="200" w:firstLine="420"/>
              <w:jc w:val="left"/>
              <w:rPr>
                <w:rFonts w:cs="Arial"/>
                <w:szCs w:val="21"/>
              </w:rPr>
            </w:pPr>
            <w:r>
              <w:rPr>
                <w:rFonts w:cs="Arial" w:hint="eastAsia"/>
                <w:szCs w:val="21"/>
              </w:rPr>
              <w:t>重点项目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研究生学院</w:t>
            </w:r>
          </w:p>
        </w:tc>
      </w:tr>
      <w:tr w:rsidR="00C00A72" w:rsidTr="00AF434A">
        <w:trPr>
          <w:trHeight w:val="844"/>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2</w:t>
            </w:r>
          </w:p>
        </w:tc>
        <w:tc>
          <w:tcPr>
            <w:tcW w:w="3686" w:type="dxa"/>
            <w:vAlign w:val="center"/>
          </w:tcPr>
          <w:p w:rsidR="00C00A72" w:rsidRDefault="006C4FDD">
            <w:pPr>
              <w:jc w:val="left"/>
              <w:rPr>
                <w:color w:val="000000"/>
                <w:sz w:val="20"/>
                <w:szCs w:val="20"/>
              </w:rPr>
            </w:pPr>
            <w:r>
              <w:rPr>
                <w:rFonts w:hint="eastAsia"/>
                <w:color w:val="000000"/>
                <w:sz w:val="20"/>
                <w:szCs w:val="20"/>
              </w:rPr>
              <w:t>人口老龄化、养老服务与公共财政保障机制研究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王晓洁</w:t>
            </w:r>
          </w:p>
        </w:tc>
        <w:tc>
          <w:tcPr>
            <w:tcW w:w="1701" w:type="dxa"/>
            <w:vAlign w:val="center"/>
          </w:tcPr>
          <w:p w:rsidR="00C00A72" w:rsidRDefault="006C4FDD">
            <w:pPr>
              <w:adjustRightInd w:val="0"/>
              <w:snapToGrid w:val="0"/>
              <w:spacing w:line="360" w:lineRule="auto"/>
              <w:ind w:firstLineChars="200" w:firstLine="420"/>
              <w:jc w:val="left"/>
              <w:rPr>
                <w:rFonts w:cs="Arial"/>
                <w:szCs w:val="21"/>
              </w:rPr>
            </w:pPr>
            <w:r>
              <w:rPr>
                <w:rFonts w:cs="Arial" w:hint="eastAsia"/>
                <w:szCs w:val="21"/>
              </w:rPr>
              <w:t>重点项目</w:t>
            </w:r>
          </w:p>
        </w:tc>
        <w:tc>
          <w:tcPr>
            <w:tcW w:w="1701" w:type="dxa"/>
            <w:vAlign w:val="center"/>
          </w:tcPr>
          <w:p w:rsidR="00C00A72" w:rsidRDefault="006C4FDD">
            <w:pPr>
              <w:adjustRightInd w:val="0"/>
              <w:snapToGrid w:val="0"/>
              <w:spacing w:line="360" w:lineRule="auto"/>
              <w:ind w:firstLineChars="200" w:firstLine="400"/>
              <w:jc w:val="left"/>
              <w:rPr>
                <w:color w:val="000000"/>
                <w:sz w:val="20"/>
                <w:szCs w:val="20"/>
              </w:rPr>
            </w:pPr>
            <w:r>
              <w:rPr>
                <w:rFonts w:hint="eastAsia"/>
                <w:color w:val="000000"/>
                <w:sz w:val="20"/>
                <w:szCs w:val="20"/>
              </w:rPr>
              <w:t>财税学院</w:t>
            </w:r>
          </w:p>
        </w:tc>
      </w:tr>
      <w:tr w:rsidR="00C00A72" w:rsidTr="00AF434A">
        <w:trPr>
          <w:trHeight w:val="842"/>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3</w:t>
            </w:r>
          </w:p>
        </w:tc>
        <w:tc>
          <w:tcPr>
            <w:tcW w:w="3686" w:type="dxa"/>
            <w:vAlign w:val="center"/>
          </w:tcPr>
          <w:p w:rsidR="00C00A72" w:rsidRDefault="006C4FDD">
            <w:pPr>
              <w:widowControl/>
              <w:jc w:val="left"/>
              <w:rPr>
                <w:rFonts w:ascii="ˎ̥" w:hAnsi="ˎ̥" w:cs="宋体" w:hint="eastAsia"/>
                <w:kern w:val="0"/>
                <w:sz w:val="16"/>
                <w:szCs w:val="16"/>
              </w:rPr>
            </w:pPr>
            <w:r>
              <w:rPr>
                <w:color w:val="000000"/>
                <w:sz w:val="20"/>
                <w:szCs w:val="20"/>
              </w:rPr>
              <w:t>推进京津冀协同发展和雄安新区规划建设实践研究</w:t>
            </w:r>
            <w:r>
              <w:rPr>
                <w:color w:val="000000"/>
                <w:sz w:val="20"/>
                <w:szCs w:val="20"/>
              </w:rPr>
              <w:t xml:space="preserve"> </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田学斌</w:t>
            </w:r>
          </w:p>
        </w:tc>
        <w:tc>
          <w:tcPr>
            <w:tcW w:w="1701" w:type="dxa"/>
            <w:vAlign w:val="center"/>
          </w:tcPr>
          <w:p w:rsidR="00C00A72" w:rsidRDefault="006C4FDD">
            <w:pPr>
              <w:adjustRightInd w:val="0"/>
              <w:snapToGrid w:val="0"/>
              <w:spacing w:line="360" w:lineRule="auto"/>
              <w:jc w:val="center"/>
              <w:rPr>
                <w:rFonts w:cs="Arial"/>
                <w:szCs w:val="21"/>
              </w:rPr>
            </w:pPr>
            <w:r>
              <w:rPr>
                <w:rFonts w:cs="Arial" w:hint="eastAsia"/>
                <w:szCs w:val="21"/>
              </w:rPr>
              <w:t>特别委托项目</w:t>
            </w:r>
          </w:p>
        </w:tc>
        <w:tc>
          <w:tcPr>
            <w:tcW w:w="1701" w:type="dxa"/>
            <w:vAlign w:val="center"/>
          </w:tcPr>
          <w:p w:rsidR="00C00A72" w:rsidRDefault="006C4FDD">
            <w:pPr>
              <w:adjustRightInd w:val="0"/>
              <w:snapToGrid w:val="0"/>
              <w:spacing w:line="360" w:lineRule="auto"/>
              <w:ind w:firstLineChars="200" w:firstLine="400"/>
              <w:jc w:val="left"/>
              <w:rPr>
                <w:color w:val="000000"/>
                <w:sz w:val="20"/>
                <w:szCs w:val="20"/>
              </w:rPr>
            </w:pPr>
            <w:r>
              <w:rPr>
                <w:rFonts w:hint="eastAsia"/>
                <w:color w:val="000000"/>
                <w:sz w:val="20"/>
                <w:szCs w:val="20"/>
              </w:rPr>
              <w:t>经济研究所</w:t>
            </w:r>
          </w:p>
        </w:tc>
      </w:tr>
      <w:tr w:rsidR="00C00A72" w:rsidTr="00AF434A">
        <w:trPr>
          <w:trHeight w:val="701"/>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4</w:t>
            </w:r>
          </w:p>
        </w:tc>
        <w:tc>
          <w:tcPr>
            <w:tcW w:w="3686" w:type="dxa"/>
            <w:vAlign w:val="center"/>
          </w:tcPr>
          <w:p w:rsidR="00C00A72" w:rsidRDefault="006C4FDD">
            <w:pPr>
              <w:widowControl/>
              <w:rPr>
                <w:color w:val="000000"/>
                <w:sz w:val="20"/>
                <w:szCs w:val="20"/>
              </w:rPr>
            </w:pPr>
            <w:r>
              <w:rPr>
                <w:color w:val="000000"/>
                <w:sz w:val="20"/>
                <w:szCs w:val="20"/>
              </w:rPr>
              <w:t>法治评估的理论建构与微观研究</w:t>
            </w:r>
            <w:r>
              <w:rPr>
                <w:color w:val="000000"/>
                <w:sz w:val="20"/>
                <w:szCs w:val="20"/>
              </w:rPr>
              <w:t xml:space="preserve"> </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王利军</w:t>
            </w:r>
          </w:p>
        </w:tc>
        <w:tc>
          <w:tcPr>
            <w:tcW w:w="1701" w:type="dxa"/>
            <w:vAlign w:val="center"/>
          </w:tcPr>
          <w:p w:rsidR="00C00A72" w:rsidRDefault="006C4FDD">
            <w:pPr>
              <w:adjustRightInd w:val="0"/>
              <w:snapToGrid w:val="0"/>
              <w:spacing w:line="360" w:lineRule="auto"/>
              <w:jc w:val="center"/>
              <w:rPr>
                <w:rFonts w:cs="Arial"/>
                <w:szCs w:val="21"/>
              </w:rPr>
            </w:pPr>
            <w:r>
              <w:rPr>
                <w:rFonts w:cs="Arial" w:hint="eastAsia"/>
                <w:szCs w:val="21"/>
              </w:rPr>
              <w:t>后期资助项目</w:t>
            </w:r>
          </w:p>
        </w:tc>
        <w:tc>
          <w:tcPr>
            <w:tcW w:w="1701" w:type="dxa"/>
            <w:vAlign w:val="center"/>
          </w:tcPr>
          <w:p w:rsidR="00C00A72" w:rsidRDefault="006C4FDD">
            <w:pPr>
              <w:adjustRightInd w:val="0"/>
              <w:snapToGrid w:val="0"/>
              <w:spacing w:line="360" w:lineRule="auto"/>
              <w:ind w:firstLineChars="200" w:firstLine="400"/>
              <w:jc w:val="left"/>
              <w:rPr>
                <w:color w:val="000000"/>
                <w:sz w:val="20"/>
                <w:szCs w:val="20"/>
              </w:rPr>
            </w:pPr>
            <w:r>
              <w:rPr>
                <w:rFonts w:hint="eastAsia"/>
                <w:color w:val="000000"/>
                <w:sz w:val="20"/>
                <w:szCs w:val="20"/>
              </w:rPr>
              <w:t>法学院</w:t>
            </w:r>
          </w:p>
        </w:tc>
      </w:tr>
      <w:tr w:rsidR="00C00A72" w:rsidTr="00AF434A">
        <w:trPr>
          <w:trHeight w:val="701"/>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5</w:t>
            </w:r>
          </w:p>
        </w:tc>
        <w:tc>
          <w:tcPr>
            <w:tcW w:w="3686" w:type="dxa"/>
            <w:vAlign w:val="center"/>
          </w:tcPr>
          <w:p w:rsidR="00C00A72" w:rsidRDefault="006C4FDD">
            <w:pPr>
              <w:widowControl/>
              <w:jc w:val="left"/>
              <w:rPr>
                <w:color w:val="000000"/>
                <w:sz w:val="20"/>
                <w:szCs w:val="20"/>
              </w:rPr>
            </w:pPr>
            <w:r>
              <w:rPr>
                <w:color w:val="000000"/>
                <w:sz w:val="20"/>
                <w:szCs w:val="20"/>
              </w:rPr>
              <w:t>中国征地拆迁模式研究：逻辑演讲、生计评估及机制优化</w:t>
            </w:r>
            <w:r>
              <w:rPr>
                <w:color w:val="000000"/>
                <w:sz w:val="20"/>
                <w:szCs w:val="20"/>
              </w:rPr>
              <w:t xml:space="preserve"> </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柴国俊</w:t>
            </w:r>
          </w:p>
        </w:tc>
        <w:tc>
          <w:tcPr>
            <w:tcW w:w="1701" w:type="dxa"/>
            <w:vAlign w:val="center"/>
          </w:tcPr>
          <w:p w:rsidR="00C00A72" w:rsidRDefault="006C4FDD">
            <w:pPr>
              <w:adjustRightInd w:val="0"/>
              <w:snapToGrid w:val="0"/>
              <w:spacing w:line="360" w:lineRule="auto"/>
              <w:jc w:val="center"/>
              <w:rPr>
                <w:rFonts w:cs="Arial"/>
                <w:szCs w:val="21"/>
              </w:rPr>
            </w:pPr>
            <w:r>
              <w:rPr>
                <w:rFonts w:cs="Arial" w:hint="eastAsia"/>
                <w:szCs w:val="21"/>
              </w:rPr>
              <w:t>后期资助项目</w:t>
            </w:r>
          </w:p>
        </w:tc>
        <w:tc>
          <w:tcPr>
            <w:tcW w:w="1701" w:type="dxa"/>
            <w:vAlign w:val="center"/>
          </w:tcPr>
          <w:p w:rsidR="00C00A72" w:rsidRDefault="006C4FDD">
            <w:pPr>
              <w:adjustRightInd w:val="0"/>
              <w:snapToGrid w:val="0"/>
              <w:spacing w:line="360" w:lineRule="auto"/>
              <w:ind w:firstLineChars="200" w:firstLine="400"/>
              <w:jc w:val="left"/>
              <w:rPr>
                <w:color w:val="000000"/>
                <w:sz w:val="20"/>
                <w:szCs w:val="20"/>
              </w:rPr>
            </w:pPr>
            <w:r>
              <w:rPr>
                <w:rFonts w:hint="eastAsia"/>
                <w:color w:val="000000"/>
                <w:sz w:val="20"/>
                <w:szCs w:val="20"/>
              </w:rPr>
              <w:t>商学院</w:t>
            </w:r>
          </w:p>
        </w:tc>
      </w:tr>
      <w:tr w:rsidR="00C00A72" w:rsidTr="00AF434A">
        <w:trPr>
          <w:trHeight w:val="701"/>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6</w:t>
            </w:r>
          </w:p>
        </w:tc>
        <w:tc>
          <w:tcPr>
            <w:tcW w:w="3686" w:type="dxa"/>
            <w:vAlign w:val="center"/>
          </w:tcPr>
          <w:p w:rsidR="00C00A72" w:rsidRDefault="006C4FDD">
            <w:pPr>
              <w:jc w:val="left"/>
              <w:rPr>
                <w:color w:val="000000"/>
                <w:sz w:val="20"/>
                <w:szCs w:val="20"/>
              </w:rPr>
            </w:pPr>
            <w:r>
              <w:rPr>
                <w:rFonts w:hint="eastAsia"/>
                <w:color w:val="000000"/>
                <w:sz w:val="20"/>
                <w:szCs w:val="20"/>
              </w:rPr>
              <w:t>我国农业保险制度优化与发展研究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冯文丽</w:t>
            </w:r>
          </w:p>
        </w:tc>
        <w:tc>
          <w:tcPr>
            <w:tcW w:w="1701" w:type="dxa"/>
            <w:vAlign w:val="center"/>
          </w:tcPr>
          <w:p w:rsidR="00C00A72" w:rsidRDefault="006C4FDD">
            <w:pPr>
              <w:adjustRightInd w:val="0"/>
              <w:snapToGrid w:val="0"/>
              <w:spacing w:line="360" w:lineRule="auto"/>
              <w:ind w:firstLineChars="200" w:firstLine="420"/>
              <w:jc w:val="left"/>
              <w:rPr>
                <w:rFonts w:cs="Arial"/>
                <w:szCs w:val="21"/>
              </w:rP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京津冀一体化发展协同创新中心</w:t>
            </w:r>
          </w:p>
        </w:tc>
      </w:tr>
      <w:tr w:rsidR="00C00A72" w:rsidTr="00AF434A">
        <w:trPr>
          <w:trHeight w:val="701"/>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7</w:t>
            </w:r>
          </w:p>
        </w:tc>
        <w:tc>
          <w:tcPr>
            <w:tcW w:w="3686" w:type="dxa"/>
            <w:vAlign w:val="center"/>
          </w:tcPr>
          <w:p w:rsidR="00C00A72" w:rsidRDefault="006C4FDD">
            <w:pPr>
              <w:jc w:val="left"/>
              <w:rPr>
                <w:color w:val="000000"/>
                <w:sz w:val="20"/>
                <w:szCs w:val="20"/>
              </w:rPr>
            </w:pPr>
            <w:r>
              <w:rPr>
                <w:rFonts w:hint="eastAsia"/>
                <w:color w:val="000000"/>
                <w:sz w:val="20"/>
                <w:szCs w:val="20"/>
              </w:rPr>
              <w:t>大数据背景下政府公共信息资源整合共享机制研究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蔺丰奇</w:t>
            </w:r>
          </w:p>
        </w:tc>
        <w:tc>
          <w:tcPr>
            <w:tcW w:w="1701" w:type="dxa"/>
            <w:vAlign w:val="center"/>
          </w:tcPr>
          <w:p w:rsidR="00C00A72" w:rsidRDefault="006C4FDD">
            <w:pPr>
              <w:adjustRightInd w:val="0"/>
              <w:snapToGrid w:val="0"/>
              <w:spacing w:line="360" w:lineRule="auto"/>
              <w:ind w:firstLineChars="200" w:firstLine="420"/>
              <w:jc w:val="left"/>
              <w:rPr>
                <w:rFonts w:cs="Arial"/>
                <w:szCs w:val="21"/>
              </w:rP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公共管理学院</w:t>
            </w:r>
          </w:p>
        </w:tc>
      </w:tr>
      <w:tr w:rsidR="00C00A72" w:rsidTr="00AF434A">
        <w:trPr>
          <w:trHeight w:val="882"/>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8</w:t>
            </w:r>
          </w:p>
        </w:tc>
        <w:tc>
          <w:tcPr>
            <w:tcW w:w="3686" w:type="dxa"/>
            <w:vAlign w:val="center"/>
          </w:tcPr>
          <w:p w:rsidR="00C00A72" w:rsidRDefault="006C4FDD">
            <w:pPr>
              <w:jc w:val="left"/>
              <w:rPr>
                <w:color w:val="000000"/>
                <w:sz w:val="20"/>
                <w:szCs w:val="20"/>
              </w:rPr>
            </w:pPr>
            <w:r>
              <w:rPr>
                <w:rFonts w:hint="eastAsia"/>
                <w:color w:val="000000"/>
                <w:sz w:val="20"/>
                <w:szCs w:val="20"/>
              </w:rPr>
              <w:t>新时代中国特色社会主义乡村伦理建构的理论内涵与实践路径研究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李冰</w:t>
            </w:r>
          </w:p>
        </w:tc>
        <w:tc>
          <w:tcPr>
            <w:tcW w:w="1701" w:type="dxa"/>
            <w:vAlign w:val="center"/>
          </w:tcPr>
          <w:p w:rsidR="00C00A72" w:rsidRDefault="006C4FDD">
            <w:pPr>
              <w:adjustRightInd w:val="0"/>
              <w:snapToGrid w:val="0"/>
              <w:spacing w:line="360" w:lineRule="auto"/>
              <w:ind w:firstLineChars="200" w:firstLine="420"/>
              <w:jc w:val="left"/>
              <w:rPr>
                <w:rFonts w:cs="Arial"/>
                <w:szCs w:val="21"/>
              </w:rP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公共管理学院</w:t>
            </w:r>
          </w:p>
        </w:tc>
      </w:tr>
      <w:tr w:rsidR="00C00A72" w:rsidTr="00AF434A">
        <w:trPr>
          <w:trHeight w:val="701"/>
        </w:trPr>
        <w:tc>
          <w:tcPr>
            <w:tcW w:w="567" w:type="dxa"/>
            <w:vAlign w:val="center"/>
          </w:tcPr>
          <w:p w:rsidR="00C00A72" w:rsidRDefault="006C4FDD">
            <w:pPr>
              <w:adjustRightInd w:val="0"/>
              <w:snapToGrid w:val="0"/>
              <w:spacing w:line="360" w:lineRule="auto"/>
              <w:ind w:firstLineChars="100" w:firstLine="210"/>
              <w:rPr>
                <w:rFonts w:cs="Arial"/>
                <w:szCs w:val="21"/>
              </w:rPr>
            </w:pPr>
            <w:r>
              <w:rPr>
                <w:rFonts w:cs="Arial" w:hint="eastAsia"/>
                <w:szCs w:val="21"/>
              </w:rPr>
              <w:t>9</w:t>
            </w:r>
          </w:p>
        </w:tc>
        <w:tc>
          <w:tcPr>
            <w:tcW w:w="3686" w:type="dxa"/>
            <w:vAlign w:val="center"/>
          </w:tcPr>
          <w:p w:rsidR="00C00A72" w:rsidRDefault="006C4FDD">
            <w:pPr>
              <w:jc w:val="left"/>
              <w:rPr>
                <w:color w:val="000000"/>
                <w:sz w:val="20"/>
                <w:szCs w:val="20"/>
              </w:rPr>
            </w:pPr>
            <w:r>
              <w:rPr>
                <w:rFonts w:hint="eastAsia"/>
                <w:color w:val="000000"/>
                <w:sz w:val="20"/>
                <w:szCs w:val="20"/>
              </w:rPr>
              <w:t>金融化视域下资本主义经济不稳定性机制研究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马锦生</w:t>
            </w:r>
          </w:p>
        </w:tc>
        <w:tc>
          <w:tcPr>
            <w:tcW w:w="1701" w:type="dxa"/>
            <w:vAlign w:val="center"/>
          </w:tcPr>
          <w:p w:rsidR="00C00A72" w:rsidRDefault="006C4FDD" w:rsidP="00AF434A">
            <w:pPr>
              <w:jc w:val="cente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商学院</w:t>
            </w:r>
          </w:p>
        </w:tc>
      </w:tr>
      <w:tr w:rsidR="00C00A72" w:rsidTr="00AF434A">
        <w:trPr>
          <w:trHeight w:val="701"/>
        </w:trPr>
        <w:tc>
          <w:tcPr>
            <w:tcW w:w="567" w:type="dxa"/>
            <w:vAlign w:val="center"/>
          </w:tcPr>
          <w:p w:rsidR="00C00A72" w:rsidRDefault="006C4FDD">
            <w:pPr>
              <w:adjustRightInd w:val="0"/>
              <w:snapToGrid w:val="0"/>
              <w:spacing w:line="360" w:lineRule="auto"/>
              <w:jc w:val="center"/>
              <w:rPr>
                <w:rFonts w:cs="Arial"/>
                <w:szCs w:val="21"/>
              </w:rPr>
            </w:pPr>
            <w:r>
              <w:rPr>
                <w:rFonts w:cs="Arial" w:hint="eastAsia"/>
                <w:szCs w:val="21"/>
              </w:rPr>
              <w:t>10</w:t>
            </w:r>
          </w:p>
        </w:tc>
        <w:tc>
          <w:tcPr>
            <w:tcW w:w="3686" w:type="dxa"/>
            <w:vAlign w:val="center"/>
          </w:tcPr>
          <w:p w:rsidR="00C00A72" w:rsidRDefault="006C4FDD">
            <w:pPr>
              <w:jc w:val="left"/>
              <w:rPr>
                <w:color w:val="000000"/>
                <w:sz w:val="20"/>
                <w:szCs w:val="20"/>
              </w:rPr>
            </w:pPr>
            <w:r>
              <w:rPr>
                <w:rFonts w:hint="eastAsia"/>
                <w:color w:val="000000"/>
                <w:sz w:val="20"/>
                <w:szCs w:val="20"/>
              </w:rPr>
              <w:t>民法典编纂背景下身份行为的体系化研究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田韶华</w:t>
            </w:r>
          </w:p>
        </w:tc>
        <w:tc>
          <w:tcPr>
            <w:tcW w:w="1701" w:type="dxa"/>
            <w:vAlign w:val="center"/>
          </w:tcPr>
          <w:p w:rsidR="00C00A72" w:rsidRDefault="006C4FDD" w:rsidP="00AF434A">
            <w:pPr>
              <w:jc w:val="cente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法学院</w:t>
            </w:r>
          </w:p>
        </w:tc>
      </w:tr>
      <w:tr w:rsidR="00C00A72" w:rsidTr="00AF434A">
        <w:trPr>
          <w:trHeight w:val="701"/>
        </w:trPr>
        <w:tc>
          <w:tcPr>
            <w:tcW w:w="567" w:type="dxa"/>
            <w:vAlign w:val="center"/>
          </w:tcPr>
          <w:p w:rsidR="00C00A72" w:rsidRDefault="006C4FDD">
            <w:pPr>
              <w:adjustRightInd w:val="0"/>
              <w:snapToGrid w:val="0"/>
              <w:spacing w:line="360" w:lineRule="auto"/>
              <w:jc w:val="center"/>
              <w:rPr>
                <w:rFonts w:cs="Arial"/>
                <w:szCs w:val="21"/>
              </w:rPr>
            </w:pPr>
            <w:r>
              <w:rPr>
                <w:rFonts w:cs="Arial" w:hint="eastAsia"/>
                <w:szCs w:val="21"/>
              </w:rPr>
              <w:t>11</w:t>
            </w:r>
          </w:p>
        </w:tc>
        <w:tc>
          <w:tcPr>
            <w:tcW w:w="3686" w:type="dxa"/>
            <w:vAlign w:val="center"/>
          </w:tcPr>
          <w:p w:rsidR="00C00A72" w:rsidRDefault="006C4FDD">
            <w:pPr>
              <w:jc w:val="left"/>
              <w:rPr>
                <w:color w:val="000000"/>
                <w:sz w:val="20"/>
                <w:szCs w:val="20"/>
              </w:rPr>
            </w:pPr>
            <w:r>
              <w:rPr>
                <w:rFonts w:hint="eastAsia"/>
                <w:color w:val="000000"/>
                <w:sz w:val="20"/>
                <w:szCs w:val="20"/>
              </w:rPr>
              <w:t>基于多源数据融合的京津冀土壤污染防治体系研究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武彦斌</w:t>
            </w:r>
          </w:p>
        </w:tc>
        <w:tc>
          <w:tcPr>
            <w:tcW w:w="1701" w:type="dxa"/>
            <w:vAlign w:val="center"/>
          </w:tcPr>
          <w:p w:rsidR="00C00A72" w:rsidRDefault="006C4FDD" w:rsidP="00AF434A">
            <w:pPr>
              <w:jc w:val="cente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管科学院</w:t>
            </w:r>
          </w:p>
        </w:tc>
      </w:tr>
      <w:tr w:rsidR="00C00A72" w:rsidTr="00AF434A">
        <w:trPr>
          <w:trHeight w:val="701"/>
        </w:trPr>
        <w:tc>
          <w:tcPr>
            <w:tcW w:w="567" w:type="dxa"/>
            <w:vAlign w:val="center"/>
          </w:tcPr>
          <w:p w:rsidR="00C00A72" w:rsidRDefault="006C4FDD">
            <w:pPr>
              <w:adjustRightInd w:val="0"/>
              <w:snapToGrid w:val="0"/>
              <w:spacing w:line="360" w:lineRule="auto"/>
              <w:jc w:val="center"/>
              <w:rPr>
                <w:rFonts w:cs="Arial"/>
                <w:szCs w:val="21"/>
              </w:rPr>
            </w:pPr>
            <w:r>
              <w:rPr>
                <w:rFonts w:cs="Arial" w:hint="eastAsia"/>
                <w:szCs w:val="21"/>
              </w:rPr>
              <w:t>12</w:t>
            </w:r>
          </w:p>
        </w:tc>
        <w:tc>
          <w:tcPr>
            <w:tcW w:w="3686" w:type="dxa"/>
            <w:vAlign w:val="center"/>
          </w:tcPr>
          <w:p w:rsidR="00C00A72" w:rsidRDefault="006C4FDD">
            <w:pPr>
              <w:jc w:val="left"/>
              <w:rPr>
                <w:color w:val="000000"/>
                <w:sz w:val="20"/>
                <w:szCs w:val="20"/>
              </w:rPr>
            </w:pPr>
            <w:r>
              <w:rPr>
                <w:rFonts w:hint="eastAsia"/>
                <w:color w:val="000000"/>
                <w:sz w:val="20"/>
                <w:szCs w:val="20"/>
              </w:rPr>
              <w:t>唐宋声诗在韩国的传播与接受研究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徐利华</w:t>
            </w:r>
          </w:p>
        </w:tc>
        <w:tc>
          <w:tcPr>
            <w:tcW w:w="1701" w:type="dxa"/>
            <w:vAlign w:val="center"/>
          </w:tcPr>
          <w:p w:rsidR="00C00A72" w:rsidRDefault="006C4FDD" w:rsidP="00AF434A">
            <w:pPr>
              <w:jc w:val="cente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文化与传播学院</w:t>
            </w:r>
          </w:p>
        </w:tc>
      </w:tr>
      <w:tr w:rsidR="00C00A72" w:rsidTr="00AF434A">
        <w:trPr>
          <w:trHeight w:val="553"/>
        </w:trPr>
        <w:tc>
          <w:tcPr>
            <w:tcW w:w="567" w:type="dxa"/>
            <w:vAlign w:val="center"/>
          </w:tcPr>
          <w:p w:rsidR="00C00A72" w:rsidRDefault="006C4FDD">
            <w:pPr>
              <w:adjustRightInd w:val="0"/>
              <w:snapToGrid w:val="0"/>
              <w:spacing w:line="360" w:lineRule="auto"/>
              <w:jc w:val="center"/>
              <w:rPr>
                <w:rFonts w:cs="Arial"/>
                <w:szCs w:val="21"/>
              </w:rPr>
            </w:pPr>
            <w:r>
              <w:rPr>
                <w:rFonts w:cs="Arial" w:hint="eastAsia"/>
                <w:szCs w:val="21"/>
              </w:rPr>
              <w:t>13</w:t>
            </w:r>
          </w:p>
        </w:tc>
        <w:tc>
          <w:tcPr>
            <w:tcW w:w="3686" w:type="dxa"/>
            <w:vAlign w:val="center"/>
          </w:tcPr>
          <w:p w:rsidR="00C00A72" w:rsidRDefault="006C4FDD">
            <w:pPr>
              <w:jc w:val="left"/>
              <w:rPr>
                <w:color w:val="000000"/>
                <w:sz w:val="20"/>
                <w:szCs w:val="20"/>
              </w:rPr>
            </w:pPr>
            <w:r>
              <w:rPr>
                <w:color w:val="000000"/>
                <w:sz w:val="20"/>
                <w:szCs w:val="20"/>
              </w:rPr>
              <w:t xml:space="preserve">21 </w:t>
            </w:r>
            <w:r>
              <w:rPr>
                <w:rFonts w:hint="eastAsia"/>
                <w:color w:val="000000"/>
                <w:sz w:val="20"/>
                <w:szCs w:val="20"/>
              </w:rPr>
              <w:t>世纪尼泊尔共产主义运动新动向研究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张树彬</w:t>
            </w:r>
          </w:p>
        </w:tc>
        <w:tc>
          <w:tcPr>
            <w:tcW w:w="1701" w:type="dxa"/>
            <w:vAlign w:val="center"/>
          </w:tcPr>
          <w:p w:rsidR="00C00A72" w:rsidRDefault="006C4FDD" w:rsidP="00AF434A">
            <w:pPr>
              <w:jc w:val="center"/>
            </w:pPr>
            <w:r>
              <w:rPr>
                <w:rFonts w:cs="Arial" w:hint="eastAsia"/>
                <w:szCs w:val="21"/>
              </w:rPr>
              <w:t>一般项目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尼泊尔研究中心</w:t>
            </w:r>
          </w:p>
        </w:tc>
      </w:tr>
      <w:tr w:rsidR="00C00A72" w:rsidTr="00AF434A">
        <w:trPr>
          <w:trHeight w:val="701"/>
        </w:trPr>
        <w:tc>
          <w:tcPr>
            <w:tcW w:w="567" w:type="dxa"/>
            <w:vAlign w:val="center"/>
          </w:tcPr>
          <w:p w:rsidR="00C00A72" w:rsidRDefault="006C4FDD">
            <w:pPr>
              <w:adjustRightInd w:val="0"/>
              <w:snapToGrid w:val="0"/>
              <w:spacing w:line="360" w:lineRule="auto"/>
              <w:jc w:val="center"/>
              <w:rPr>
                <w:rFonts w:cs="Arial"/>
                <w:szCs w:val="21"/>
              </w:rPr>
            </w:pPr>
            <w:r>
              <w:rPr>
                <w:rFonts w:cs="Arial" w:hint="eastAsia"/>
                <w:szCs w:val="21"/>
              </w:rPr>
              <w:t>14</w:t>
            </w:r>
          </w:p>
        </w:tc>
        <w:tc>
          <w:tcPr>
            <w:tcW w:w="3686" w:type="dxa"/>
            <w:vAlign w:val="center"/>
          </w:tcPr>
          <w:p w:rsidR="00C00A72" w:rsidRDefault="006C4FDD">
            <w:pPr>
              <w:jc w:val="left"/>
              <w:rPr>
                <w:color w:val="000000"/>
                <w:sz w:val="20"/>
                <w:szCs w:val="20"/>
              </w:rPr>
            </w:pPr>
            <w:r>
              <w:rPr>
                <w:rFonts w:hint="eastAsia"/>
                <w:color w:val="000000"/>
                <w:sz w:val="20"/>
                <w:szCs w:val="20"/>
              </w:rPr>
              <w:t>学术新媒体信息流转的驱动机制与价值增值研究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李宇佳</w:t>
            </w:r>
          </w:p>
        </w:tc>
        <w:tc>
          <w:tcPr>
            <w:tcW w:w="1701" w:type="dxa"/>
            <w:vAlign w:val="center"/>
          </w:tcPr>
          <w:p w:rsidR="00C00A72" w:rsidRDefault="006C4FDD" w:rsidP="00AF434A">
            <w:pPr>
              <w:adjustRightInd w:val="0"/>
              <w:snapToGrid w:val="0"/>
              <w:spacing w:line="360" w:lineRule="auto"/>
              <w:ind w:firstLineChars="200" w:firstLine="420"/>
              <w:rPr>
                <w:rFonts w:cs="Arial"/>
                <w:szCs w:val="21"/>
              </w:rPr>
            </w:pPr>
            <w:r>
              <w:rPr>
                <w:rFonts w:cs="Arial" w:hint="eastAsia"/>
                <w:szCs w:val="21"/>
              </w:rPr>
              <w:t>青年项目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公共管理学院</w:t>
            </w:r>
          </w:p>
        </w:tc>
      </w:tr>
      <w:tr w:rsidR="00C00A72" w:rsidTr="00AF434A">
        <w:trPr>
          <w:trHeight w:val="701"/>
        </w:trPr>
        <w:tc>
          <w:tcPr>
            <w:tcW w:w="567" w:type="dxa"/>
            <w:vAlign w:val="center"/>
          </w:tcPr>
          <w:p w:rsidR="00C00A72" w:rsidRDefault="006C4FDD">
            <w:pPr>
              <w:adjustRightInd w:val="0"/>
              <w:snapToGrid w:val="0"/>
              <w:spacing w:line="360" w:lineRule="auto"/>
              <w:jc w:val="center"/>
              <w:rPr>
                <w:rFonts w:cs="Arial"/>
                <w:szCs w:val="21"/>
              </w:rPr>
            </w:pPr>
            <w:r>
              <w:rPr>
                <w:rFonts w:cs="Arial" w:hint="eastAsia"/>
                <w:szCs w:val="21"/>
              </w:rPr>
              <w:t>15</w:t>
            </w:r>
          </w:p>
        </w:tc>
        <w:tc>
          <w:tcPr>
            <w:tcW w:w="3686" w:type="dxa"/>
            <w:vAlign w:val="center"/>
          </w:tcPr>
          <w:p w:rsidR="00C00A72" w:rsidRDefault="006C4FDD">
            <w:pPr>
              <w:jc w:val="left"/>
              <w:rPr>
                <w:color w:val="000000"/>
                <w:sz w:val="20"/>
                <w:szCs w:val="20"/>
              </w:rPr>
            </w:pPr>
            <w:r>
              <w:rPr>
                <w:rFonts w:hint="eastAsia"/>
                <w:color w:val="000000"/>
                <w:sz w:val="20"/>
                <w:szCs w:val="20"/>
              </w:rPr>
              <w:t>老龄友善社区代际共融机制的构建及优化研究</w:t>
            </w:r>
          </w:p>
        </w:tc>
        <w:tc>
          <w:tcPr>
            <w:tcW w:w="1134" w:type="dxa"/>
            <w:vAlign w:val="center"/>
          </w:tcPr>
          <w:p w:rsidR="00C00A72" w:rsidRDefault="006C4FDD">
            <w:pPr>
              <w:adjustRightInd w:val="0"/>
              <w:snapToGrid w:val="0"/>
              <w:spacing w:line="360" w:lineRule="auto"/>
              <w:jc w:val="center"/>
              <w:rPr>
                <w:rFonts w:cs="Arial"/>
                <w:szCs w:val="21"/>
              </w:rPr>
            </w:pPr>
            <w:r>
              <w:rPr>
                <w:rFonts w:cs="Arial" w:hint="eastAsia"/>
                <w:szCs w:val="21"/>
              </w:rPr>
              <w:t>孙茜</w:t>
            </w:r>
          </w:p>
        </w:tc>
        <w:tc>
          <w:tcPr>
            <w:tcW w:w="1701" w:type="dxa"/>
            <w:vAlign w:val="center"/>
          </w:tcPr>
          <w:p w:rsidR="00C00A72" w:rsidRDefault="006C4FDD" w:rsidP="00AF434A">
            <w:pPr>
              <w:adjustRightInd w:val="0"/>
              <w:snapToGrid w:val="0"/>
              <w:spacing w:line="360" w:lineRule="auto"/>
              <w:ind w:firstLineChars="200" w:firstLine="420"/>
              <w:rPr>
                <w:rFonts w:cs="Arial"/>
                <w:szCs w:val="21"/>
              </w:rPr>
            </w:pPr>
            <w:r>
              <w:rPr>
                <w:rFonts w:cs="Arial" w:hint="eastAsia"/>
                <w:szCs w:val="21"/>
              </w:rPr>
              <w:t>青年项目</w:t>
            </w:r>
          </w:p>
        </w:tc>
        <w:tc>
          <w:tcPr>
            <w:tcW w:w="1701" w:type="dxa"/>
            <w:vAlign w:val="center"/>
          </w:tcPr>
          <w:p w:rsidR="00C00A72" w:rsidRDefault="006C4FDD">
            <w:pPr>
              <w:adjustRightInd w:val="0"/>
              <w:snapToGrid w:val="0"/>
              <w:spacing w:line="360" w:lineRule="auto"/>
              <w:jc w:val="center"/>
              <w:rPr>
                <w:color w:val="000000"/>
                <w:sz w:val="20"/>
                <w:szCs w:val="20"/>
              </w:rPr>
            </w:pPr>
            <w:r>
              <w:rPr>
                <w:rFonts w:hint="eastAsia"/>
                <w:color w:val="000000"/>
                <w:sz w:val="20"/>
                <w:szCs w:val="20"/>
              </w:rPr>
              <w:t>公共管理学院</w:t>
            </w:r>
          </w:p>
        </w:tc>
      </w:tr>
    </w:tbl>
    <w:p w:rsidR="00C00A72" w:rsidRDefault="006C4FDD">
      <w:pPr>
        <w:adjustRightInd w:val="0"/>
        <w:snapToGrid w:val="0"/>
        <w:spacing w:line="360" w:lineRule="auto"/>
        <w:ind w:firstLineChars="200" w:firstLine="562"/>
        <w:jc w:val="center"/>
        <w:rPr>
          <w:rFonts w:eastAsia="黑体"/>
          <w:b/>
          <w:sz w:val="28"/>
          <w:szCs w:val="28"/>
        </w:rPr>
      </w:pPr>
      <w:r>
        <w:rPr>
          <w:rFonts w:eastAsia="黑体" w:hint="eastAsia"/>
          <w:b/>
          <w:sz w:val="28"/>
          <w:szCs w:val="28"/>
        </w:rPr>
        <w:t xml:space="preserve">  </w:t>
      </w:r>
    </w:p>
    <w:p w:rsidR="00C00A72" w:rsidRDefault="00C00A72">
      <w:pPr>
        <w:adjustRightInd w:val="0"/>
        <w:snapToGrid w:val="0"/>
        <w:spacing w:line="360" w:lineRule="auto"/>
        <w:ind w:firstLineChars="200" w:firstLine="562"/>
        <w:jc w:val="center"/>
        <w:rPr>
          <w:rFonts w:eastAsia="黑体"/>
          <w:b/>
          <w:sz w:val="28"/>
          <w:szCs w:val="28"/>
        </w:rPr>
      </w:pPr>
    </w:p>
    <w:p w:rsidR="00C00A72" w:rsidRDefault="00C00A72">
      <w:pPr>
        <w:adjustRightInd w:val="0"/>
        <w:snapToGrid w:val="0"/>
        <w:spacing w:line="360" w:lineRule="auto"/>
        <w:ind w:firstLineChars="200" w:firstLine="562"/>
        <w:jc w:val="center"/>
        <w:rPr>
          <w:rFonts w:eastAsia="黑体"/>
          <w:b/>
          <w:sz w:val="28"/>
          <w:szCs w:val="28"/>
        </w:rPr>
      </w:pPr>
    </w:p>
    <w:p w:rsidR="00E63098" w:rsidRDefault="00E63098">
      <w:pPr>
        <w:adjustRightInd w:val="0"/>
        <w:snapToGrid w:val="0"/>
        <w:spacing w:line="360" w:lineRule="auto"/>
        <w:ind w:firstLineChars="200" w:firstLine="562"/>
        <w:jc w:val="center"/>
        <w:rPr>
          <w:rFonts w:eastAsia="黑体"/>
          <w:b/>
          <w:sz w:val="28"/>
          <w:szCs w:val="28"/>
        </w:rPr>
      </w:pPr>
    </w:p>
    <w:p w:rsidR="00C00A72" w:rsidRDefault="006C4FDD" w:rsidP="00AF434A">
      <w:pPr>
        <w:adjustRightInd w:val="0"/>
        <w:snapToGrid w:val="0"/>
        <w:spacing w:line="360" w:lineRule="auto"/>
        <w:ind w:firstLineChars="400" w:firstLine="1124"/>
        <w:rPr>
          <w:rFonts w:asciiTheme="minorEastAsia" w:eastAsiaTheme="minorEastAsia" w:hAnsiTheme="minorEastAsia"/>
          <w:b/>
          <w:sz w:val="28"/>
          <w:szCs w:val="28"/>
        </w:rPr>
      </w:pPr>
      <w:r>
        <w:rPr>
          <w:rFonts w:asciiTheme="minorEastAsia" w:eastAsiaTheme="minorEastAsia" w:hAnsiTheme="minorEastAsia"/>
          <w:b/>
          <w:sz w:val="28"/>
          <w:szCs w:val="28"/>
        </w:rPr>
        <w:t>20</w:t>
      </w:r>
      <w:r>
        <w:rPr>
          <w:rFonts w:asciiTheme="minorEastAsia" w:eastAsiaTheme="minorEastAsia" w:hAnsiTheme="minorEastAsia" w:hint="eastAsia"/>
          <w:b/>
          <w:sz w:val="28"/>
          <w:szCs w:val="28"/>
        </w:rPr>
        <w:t>18</w:t>
      </w:r>
      <w:r>
        <w:rPr>
          <w:rFonts w:asciiTheme="minorEastAsia" w:eastAsiaTheme="minorEastAsia" w:hAnsiTheme="minorEastAsia"/>
          <w:b/>
          <w:sz w:val="28"/>
          <w:szCs w:val="28"/>
        </w:rPr>
        <w:t>年度</w:t>
      </w:r>
      <w:r>
        <w:rPr>
          <w:rFonts w:asciiTheme="minorEastAsia" w:eastAsiaTheme="minorEastAsia" w:hAnsiTheme="minorEastAsia" w:hint="eastAsia"/>
          <w:b/>
          <w:sz w:val="28"/>
          <w:szCs w:val="28"/>
        </w:rPr>
        <w:t>河北经贸大学</w:t>
      </w:r>
      <w:r>
        <w:rPr>
          <w:rFonts w:asciiTheme="minorEastAsia" w:eastAsiaTheme="minorEastAsia" w:hAnsiTheme="minorEastAsia"/>
          <w:b/>
          <w:sz w:val="28"/>
          <w:szCs w:val="28"/>
        </w:rPr>
        <w:t>承担的</w:t>
      </w:r>
      <w:r>
        <w:rPr>
          <w:rFonts w:asciiTheme="minorEastAsia" w:eastAsiaTheme="minorEastAsia" w:hAnsiTheme="minorEastAsia" w:hint="eastAsia"/>
          <w:b/>
          <w:sz w:val="28"/>
          <w:szCs w:val="28"/>
        </w:rPr>
        <w:t>国家自然科学基金</w:t>
      </w:r>
      <w:r>
        <w:rPr>
          <w:rFonts w:asciiTheme="minorEastAsia" w:eastAsiaTheme="minorEastAsia" w:hAnsiTheme="minorEastAsia"/>
          <w:b/>
          <w:sz w:val="28"/>
          <w:szCs w:val="28"/>
        </w:rPr>
        <w:t>项目</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09"/>
        <w:gridCol w:w="3402"/>
        <w:gridCol w:w="992"/>
        <w:gridCol w:w="1843"/>
        <w:gridCol w:w="1843"/>
      </w:tblGrid>
      <w:tr w:rsidR="00C00A72" w:rsidTr="00AF434A">
        <w:trPr>
          <w:trHeight w:val="384"/>
        </w:trPr>
        <w:tc>
          <w:tcPr>
            <w:tcW w:w="709" w:type="dxa"/>
          </w:tcPr>
          <w:p w:rsidR="00C00A72" w:rsidRDefault="006C4FDD">
            <w:pPr>
              <w:adjustRightInd w:val="0"/>
              <w:snapToGrid w:val="0"/>
              <w:spacing w:line="360" w:lineRule="auto"/>
              <w:jc w:val="center"/>
              <w:rPr>
                <w:rFonts w:cs="Arial"/>
                <w:b/>
                <w:szCs w:val="21"/>
              </w:rPr>
            </w:pPr>
            <w:r>
              <w:rPr>
                <w:rFonts w:cs="Arial" w:hint="eastAsia"/>
                <w:b/>
                <w:szCs w:val="21"/>
              </w:rPr>
              <w:t>序号</w:t>
            </w:r>
          </w:p>
        </w:tc>
        <w:tc>
          <w:tcPr>
            <w:tcW w:w="3402" w:type="dxa"/>
            <w:vAlign w:val="center"/>
          </w:tcPr>
          <w:p w:rsidR="00C00A72" w:rsidRDefault="006C4FDD">
            <w:pPr>
              <w:adjustRightInd w:val="0"/>
              <w:snapToGrid w:val="0"/>
              <w:spacing w:line="360" w:lineRule="auto"/>
              <w:ind w:firstLineChars="650" w:firstLine="1370"/>
              <w:rPr>
                <w:rFonts w:cs="Arial"/>
                <w:b/>
                <w:szCs w:val="21"/>
              </w:rPr>
            </w:pPr>
            <w:r>
              <w:rPr>
                <w:rFonts w:cs="Arial"/>
                <w:b/>
                <w:szCs w:val="21"/>
              </w:rPr>
              <w:t>项目名称</w:t>
            </w:r>
          </w:p>
        </w:tc>
        <w:tc>
          <w:tcPr>
            <w:tcW w:w="992" w:type="dxa"/>
            <w:vAlign w:val="center"/>
          </w:tcPr>
          <w:p w:rsidR="00C00A72" w:rsidRDefault="006C4FDD">
            <w:pPr>
              <w:adjustRightInd w:val="0"/>
              <w:snapToGrid w:val="0"/>
              <w:spacing w:line="360" w:lineRule="auto"/>
              <w:jc w:val="center"/>
              <w:rPr>
                <w:rFonts w:cs="Arial"/>
                <w:b/>
                <w:szCs w:val="21"/>
              </w:rPr>
            </w:pPr>
            <w:r>
              <w:rPr>
                <w:rFonts w:cs="Arial"/>
                <w:b/>
                <w:szCs w:val="21"/>
              </w:rPr>
              <w:t>负责人</w:t>
            </w:r>
          </w:p>
        </w:tc>
        <w:tc>
          <w:tcPr>
            <w:tcW w:w="1843" w:type="dxa"/>
            <w:vAlign w:val="center"/>
          </w:tcPr>
          <w:p w:rsidR="00C00A72" w:rsidRDefault="006C4FDD">
            <w:pPr>
              <w:adjustRightInd w:val="0"/>
              <w:snapToGrid w:val="0"/>
              <w:spacing w:line="360" w:lineRule="auto"/>
              <w:ind w:firstLineChars="200" w:firstLine="422"/>
              <w:rPr>
                <w:rFonts w:cs="Arial"/>
                <w:b/>
                <w:szCs w:val="21"/>
              </w:rPr>
            </w:pPr>
            <w:r>
              <w:rPr>
                <w:rFonts w:cs="Arial" w:hint="eastAsia"/>
                <w:b/>
                <w:szCs w:val="21"/>
              </w:rPr>
              <w:t>项目子类</w:t>
            </w:r>
          </w:p>
        </w:tc>
        <w:tc>
          <w:tcPr>
            <w:tcW w:w="1843" w:type="dxa"/>
            <w:vAlign w:val="center"/>
          </w:tcPr>
          <w:p w:rsidR="00C00A72" w:rsidRDefault="006C4FDD">
            <w:pPr>
              <w:adjustRightInd w:val="0"/>
              <w:snapToGrid w:val="0"/>
              <w:spacing w:line="360" w:lineRule="auto"/>
              <w:ind w:firstLineChars="200" w:firstLine="422"/>
              <w:rPr>
                <w:rFonts w:cs="Arial"/>
                <w:b/>
                <w:szCs w:val="21"/>
              </w:rPr>
            </w:pPr>
            <w:r>
              <w:rPr>
                <w:rFonts w:cs="Arial" w:hint="eastAsia"/>
                <w:b/>
                <w:szCs w:val="21"/>
              </w:rPr>
              <w:t>所属单位</w:t>
            </w:r>
          </w:p>
        </w:tc>
      </w:tr>
      <w:tr w:rsidR="00C00A72" w:rsidTr="00AF434A">
        <w:trPr>
          <w:trHeight w:val="625"/>
        </w:trPr>
        <w:tc>
          <w:tcPr>
            <w:tcW w:w="709" w:type="dxa"/>
            <w:vAlign w:val="center"/>
          </w:tcPr>
          <w:p w:rsidR="00C00A72" w:rsidRDefault="006C4FDD">
            <w:pPr>
              <w:adjustRightInd w:val="0"/>
              <w:snapToGrid w:val="0"/>
              <w:spacing w:line="360" w:lineRule="auto"/>
              <w:jc w:val="center"/>
              <w:rPr>
                <w:rFonts w:cs="Arial"/>
                <w:szCs w:val="21"/>
              </w:rPr>
            </w:pPr>
            <w:r>
              <w:rPr>
                <w:rFonts w:cs="Arial" w:hint="eastAsia"/>
                <w:szCs w:val="21"/>
              </w:rPr>
              <w:t>1</w:t>
            </w:r>
          </w:p>
        </w:tc>
        <w:tc>
          <w:tcPr>
            <w:tcW w:w="3402" w:type="dxa"/>
            <w:vAlign w:val="center"/>
          </w:tcPr>
          <w:p w:rsidR="00C00A72" w:rsidRDefault="006C4FDD">
            <w:pPr>
              <w:jc w:val="left"/>
              <w:rPr>
                <w:color w:val="000000"/>
                <w:sz w:val="20"/>
                <w:szCs w:val="20"/>
              </w:rPr>
            </w:pPr>
            <w:r>
              <w:rPr>
                <w:rFonts w:ascii="Arial" w:hAnsi="Arial" w:cs="Arial"/>
                <w:color w:val="000000"/>
                <w:sz w:val="20"/>
                <w:szCs w:val="20"/>
              </w:rPr>
              <w:t>排序集抽样下截尾数据估计问题的研究</w:t>
            </w:r>
          </w:p>
        </w:tc>
        <w:tc>
          <w:tcPr>
            <w:tcW w:w="992" w:type="dxa"/>
            <w:vAlign w:val="center"/>
          </w:tcPr>
          <w:p w:rsidR="00C00A72" w:rsidRDefault="006C4FDD">
            <w:pPr>
              <w:jc w:val="center"/>
              <w:rPr>
                <w:color w:val="000000"/>
                <w:sz w:val="20"/>
                <w:szCs w:val="20"/>
              </w:rPr>
            </w:pPr>
            <w:r>
              <w:rPr>
                <w:rFonts w:hint="eastAsia"/>
                <w:color w:val="000000"/>
                <w:sz w:val="20"/>
                <w:szCs w:val="20"/>
              </w:rPr>
              <w:t>董晓芳</w:t>
            </w:r>
          </w:p>
        </w:tc>
        <w:tc>
          <w:tcPr>
            <w:tcW w:w="1843" w:type="dxa"/>
            <w:vAlign w:val="center"/>
          </w:tcPr>
          <w:p w:rsidR="00C00A72" w:rsidRDefault="006C4FDD">
            <w:pPr>
              <w:jc w:val="center"/>
              <w:rPr>
                <w:color w:val="000000"/>
                <w:sz w:val="20"/>
                <w:szCs w:val="20"/>
              </w:rPr>
            </w:pPr>
            <w:r>
              <w:rPr>
                <w:rFonts w:hint="eastAsia"/>
                <w:color w:val="000000"/>
                <w:sz w:val="20"/>
                <w:szCs w:val="20"/>
              </w:rPr>
              <w:t>青年基金项目</w:t>
            </w:r>
          </w:p>
        </w:tc>
        <w:tc>
          <w:tcPr>
            <w:tcW w:w="1843" w:type="dxa"/>
            <w:vAlign w:val="center"/>
          </w:tcPr>
          <w:p w:rsidR="00C00A72" w:rsidRDefault="006C4FDD">
            <w:pPr>
              <w:jc w:val="left"/>
              <w:rPr>
                <w:color w:val="000000"/>
                <w:sz w:val="20"/>
                <w:szCs w:val="20"/>
              </w:rPr>
            </w:pPr>
            <w:r>
              <w:rPr>
                <w:rFonts w:hint="eastAsia"/>
                <w:color w:val="000000"/>
                <w:sz w:val="20"/>
                <w:szCs w:val="20"/>
              </w:rPr>
              <w:t>数学与统计学学院</w:t>
            </w:r>
          </w:p>
        </w:tc>
      </w:tr>
      <w:tr w:rsidR="00C00A72" w:rsidTr="00AF434A">
        <w:trPr>
          <w:trHeight w:val="625"/>
        </w:trPr>
        <w:tc>
          <w:tcPr>
            <w:tcW w:w="709" w:type="dxa"/>
            <w:vAlign w:val="center"/>
          </w:tcPr>
          <w:p w:rsidR="00C00A72" w:rsidRDefault="006C4FDD">
            <w:pPr>
              <w:adjustRightInd w:val="0"/>
              <w:snapToGrid w:val="0"/>
              <w:spacing w:line="360" w:lineRule="auto"/>
              <w:jc w:val="center"/>
              <w:rPr>
                <w:rFonts w:cs="Arial"/>
                <w:szCs w:val="21"/>
              </w:rPr>
            </w:pPr>
            <w:r>
              <w:rPr>
                <w:rFonts w:cs="Arial" w:hint="eastAsia"/>
                <w:szCs w:val="21"/>
              </w:rPr>
              <w:t>2</w:t>
            </w:r>
          </w:p>
        </w:tc>
        <w:tc>
          <w:tcPr>
            <w:tcW w:w="3402" w:type="dxa"/>
            <w:vAlign w:val="center"/>
          </w:tcPr>
          <w:p w:rsidR="00C00A72" w:rsidRDefault="006C4FDD">
            <w:pPr>
              <w:jc w:val="left"/>
              <w:rPr>
                <w:color w:val="000000"/>
                <w:sz w:val="20"/>
                <w:szCs w:val="20"/>
              </w:rPr>
            </w:pPr>
            <w:r>
              <w:rPr>
                <w:rFonts w:ascii="Arial" w:hAnsi="Arial" w:cs="Arial"/>
                <w:color w:val="000000"/>
                <w:sz w:val="20"/>
                <w:szCs w:val="20"/>
              </w:rPr>
              <w:t>基于正交频分复用的可见光通信非线性信道均衡机制研究</w:t>
            </w:r>
          </w:p>
        </w:tc>
        <w:tc>
          <w:tcPr>
            <w:tcW w:w="992" w:type="dxa"/>
            <w:vAlign w:val="center"/>
          </w:tcPr>
          <w:p w:rsidR="00C00A72" w:rsidRDefault="006C4FDD">
            <w:pPr>
              <w:jc w:val="center"/>
              <w:rPr>
                <w:color w:val="000000"/>
                <w:sz w:val="20"/>
                <w:szCs w:val="20"/>
              </w:rPr>
            </w:pPr>
            <w:r>
              <w:rPr>
                <w:rFonts w:hint="eastAsia"/>
                <w:color w:val="000000"/>
                <w:sz w:val="20"/>
                <w:szCs w:val="20"/>
              </w:rPr>
              <w:t>李建锋</w:t>
            </w:r>
          </w:p>
        </w:tc>
        <w:tc>
          <w:tcPr>
            <w:tcW w:w="1843" w:type="dxa"/>
            <w:vAlign w:val="center"/>
          </w:tcPr>
          <w:p w:rsidR="00C00A72" w:rsidRDefault="006C4FDD">
            <w:pPr>
              <w:jc w:val="center"/>
              <w:rPr>
                <w:color w:val="000000"/>
                <w:sz w:val="20"/>
                <w:szCs w:val="20"/>
              </w:rPr>
            </w:pPr>
            <w:r>
              <w:rPr>
                <w:rFonts w:hint="eastAsia"/>
                <w:color w:val="000000"/>
                <w:sz w:val="20"/>
                <w:szCs w:val="20"/>
              </w:rPr>
              <w:t>青年基金项目</w:t>
            </w:r>
          </w:p>
        </w:tc>
        <w:tc>
          <w:tcPr>
            <w:tcW w:w="1843" w:type="dxa"/>
            <w:vAlign w:val="center"/>
          </w:tcPr>
          <w:p w:rsidR="00C00A72" w:rsidRDefault="006C4FDD">
            <w:pPr>
              <w:jc w:val="left"/>
              <w:rPr>
                <w:color w:val="000000"/>
                <w:sz w:val="20"/>
                <w:szCs w:val="20"/>
              </w:rPr>
            </w:pPr>
            <w:r>
              <w:rPr>
                <w:rFonts w:hint="eastAsia"/>
                <w:color w:val="000000"/>
                <w:sz w:val="20"/>
                <w:szCs w:val="20"/>
              </w:rPr>
              <w:t>信息技术学院</w:t>
            </w:r>
          </w:p>
        </w:tc>
      </w:tr>
      <w:tr w:rsidR="00C00A72" w:rsidTr="00AF434A">
        <w:trPr>
          <w:trHeight w:val="625"/>
        </w:trPr>
        <w:tc>
          <w:tcPr>
            <w:tcW w:w="709" w:type="dxa"/>
            <w:vAlign w:val="center"/>
          </w:tcPr>
          <w:p w:rsidR="00C00A72" w:rsidRDefault="006C4FDD">
            <w:pPr>
              <w:adjustRightInd w:val="0"/>
              <w:snapToGrid w:val="0"/>
              <w:spacing w:line="360" w:lineRule="auto"/>
              <w:jc w:val="center"/>
              <w:rPr>
                <w:rFonts w:cs="Arial"/>
                <w:szCs w:val="21"/>
              </w:rPr>
            </w:pPr>
            <w:r>
              <w:rPr>
                <w:rFonts w:cs="Arial" w:hint="eastAsia"/>
                <w:szCs w:val="21"/>
              </w:rPr>
              <w:t>3</w:t>
            </w:r>
          </w:p>
        </w:tc>
        <w:tc>
          <w:tcPr>
            <w:tcW w:w="3402" w:type="dxa"/>
            <w:vAlign w:val="center"/>
          </w:tcPr>
          <w:p w:rsidR="00C00A72" w:rsidRDefault="006C4FDD">
            <w:pPr>
              <w:jc w:val="left"/>
              <w:rPr>
                <w:color w:val="000000"/>
                <w:sz w:val="20"/>
                <w:szCs w:val="20"/>
              </w:rPr>
            </w:pPr>
            <w:r>
              <w:rPr>
                <w:rFonts w:ascii="Arial" w:hAnsi="Arial" w:cs="Arial"/>
                <w:color w:val="000000"/>
                <w:sz w:val="20"/>
                <w:szCs w:val="20"/>
              </w:rPr>
              <w:t>氧化修饰调控鱼糜凝胶特性机理研究</w:t>
            </w:r>
          </w:p>
        </w:tc>
        <w:tc>
          <w:tcPr>
            <w:tcW w:w="992" w:type="dxa"/>
            <w:vAlign w:val="center"/>
          </w:tcPr>
          <w:p w:rsidR="00C00A72" w:rsidRDefault="006C4FDD">
            <w:pPr>
              <w:jc w:val="center"/>
              <w:rPr>
                <w:color w:val="000000"/>
                <w:sz w:val="20"/>
                <w:szCs w:val="20"/>
              </w:rPr>
            </w:pPr>
            <w:r>
              <w:rPr>
                <w:rFonts w:hint="eastAsia"/>
                <w:color w:val="000000"/>
                <w:sz w:val="20"/>
                <w:szCs w:val="20"/>
              </w:rPr>
              <w:t>卢涵</w:t>
            </w:r>
          </w:p>
        </w:tc>
        <w:tc>
          <w:tcPr>
            <w:tcW w:w="1843" w:type="dxa"/>
            <w:vAlign w:val="center"/>
          </w:tcPr>
          <w:p w:rsidR="00C00A72" w:rsidRDefault="006C4FDD">
            <w:pPr>
              <w:jc w:val="center"/>
              <w:rPr>
                <w:color w:val="000000"/>
                <w:sz w:val="20"/>
                <w:szCs w:val="20"/>
              </w:rPr>
            </w:pPr>
            <w:r>
              <w:rPr>
                <w:rFonts w:hint="eastAsia"/>
                <w:color w:val="000000"/>
                <w:sz w:val="20"/>
                <w:szCs w:val="20"/>
              </w:rPr>
              <w:t>青年基金项目</w:t>
            </w:r>
          </w:p>
        </w:tc>
        <w:tc>
          <w:tcPr>
            <w:tcW w:w="1843" w:type="dxa"/>
            <w:vAlign w:val="center"/>
          </w:tcPr>
          <w:p w:rsidR="00C00A72" w:rsidRDefault="006C4FDD">
            <w:pPr>
              <w:jc w:val="left"/>
              <w:rPr>
                <w:color w:val="000000"/>
                <w:sz w:val="20"/>
                <w:szCs w:val="20"/>
              </w:rPr>
            </w:pPr>
            <w:r>
              <w:rPr>
                <w:rFonts w:hint="eastAsia"/>
                <w:color w:val="000000"/>
                <w:sz w:val="20"/>
                <w:szCs w:val="20"/>
              </w:rPr>
              <w:t>生物科学与工程学院</w:t>
            </w:r>
          </w:p>
        </w:tc>
      </w:tr>
      <w:tr w:rsidR="00C00A72" w:rsidTr="00AF434A">
        <w:trPr>
          <w:trHeight w:val="625"/>
        </w:trPr>
        <w:tc>
          <w:tcPr>
            <w:tcW w:w="709" w:type="dxa"/>
            <w:vAlign w:val="center"/>
          </w:tcPr>
          <w:p w:rsidR="00C00A72" w:rsidRDefault="006C4FDD">
            <w:pPr>
              <w:adjustRightInd w:val="0"/>
              <w:snapToGrid w:val="0"/>
              <w:spacing w:line="360" w:lineRule="auto"/>
              <w:jc w:val="center"/>
              <w:rPr>
                <w:rFonts w:cs="Arial"/>
                <w:szCs w:val="21"/>
              </w:rPr>
            </w:pPr>
            <w:r>
              <w:rPr>
                <w:rFonts w:cs="Arial" w:hint="eastAsia"/>
                <w:szCs w:val="21"/>
              </w:rPr>
              <w:t>4</w:t>
            </w:r>
          </w:p>
        </w:tc>
        <w:tc>
          <w:tcPr>
            <w:tcW w:w="3402" w:type="dxa"/>
            <w:vAlign w:val="center"/>
          </w:tcPr>
          <w:p w:rsidR="00C00A72" w:rsidRDefault="006C4FDD">
            <w:pPr>
              <w:jc w:val="left"/>
              <w:rPr>
                <w:color w:val="000000"/>
                <w:sz w:val="20"/>
                <w:szCs w:val="20"/>
              </w:rPr>
            </w:pPr>
            <w:r>
              <w:rPr>
                <w:rFonts w:hint="eastAsia"/>
                <w:color w:val="000000"/>
                <w:sz w:val="20"/>
                <w:szCs w:val="20"/>
              </w:rPr>
              <w:t>具有分数阶耗散的</w:t>
            </w:r>
            <w:proofErr w:type="spellStart"/>
            <w:r>
              <w:rPr>
                <w:color w:val="000000"/>
                <w:sz w:val="20"/>
                <w:szCs w:val="20"/>
              </w:rPr>
              <w:t>Boussinesq</w:t>
            </w:r>
            <w:proofErr w:type="spellEnd"/>
            <w:r>
              <w:rPr>
                <w:rFonts w:hint="eastAsia"/>
                <w:color w:val="000000"/>
                <w:sz w:val="20"/>
                <w:szCs w:val="20"/>
              </w:rPr>
              <w:t>方程组相关模型解的性态研究</w:t>
            </w:r>
          </w:p>
        </w:tc>
        <w:tc>
          <w:tcPr>
            <w:tcW w:w="992" w:type="dxa"/>
            <w:vAlign w:val="center"/>
          </w:tcPr>
          <w:p w:rsidR="00C00A72" w:rsidRDefault="006C4FDD">
            <w:pPr>
              <w:jc w:val="center"/>
              <w:rPr>
                <w:color w:val="000000"/>
                <w:sz w:val="20"/>
                <w:szCs w:val="20"/>
              </w:rPr>
            </w:pPr>
            <w:r>
              <w:rPr>
                <w:rFonts w:hint="eastAsia"/>
                <w:color w:val="000000"/>
                <w:sz w:val="20"/>
                <w:szCs w:val="20"/>
              </w:rPr>
              <w:t>苏兴</w:t>
            </w:r>
          </w:p>
        </w:tc>
        <w:tc>
          <w:tcPr>
            <w:tcW w:w="1843" w:type="dxa"/>
            <w:vAlign w:val="center"/>
          </w:tcPr>
          <w:p w:rsidR="00C00A72" w:rsidRDefault="006C4FDD">
            <w:pPr>
              <w:jc w:val="center"/>
              <w:rPr>
                <w:color w:val="000000"/>
                <w:sz w:val="20"/>
                <w:szCs w:val="20"/>
              </w:rPr>
            </w:pPr>
            <w:r>
              <w:rPr>
                <w:rFonts w:hint="eastAsia"/>
                <w:color w:val="000000"/>
                <w:sz w:val="20"/>
                <w:szCs w:val="20"/>
              </w:rPr>
              <w:t>青年基金项目</w:t>
            </w:r>
          </w:p>
        </w:tc>
        <w:tc>
          <w:tcPr>
            <w:tcW w:w="1843" w:type="dxa"/>
            <w:vAlign w:val="center"/>
          </w:tcPr>
          <w:p w:rsidR="00C00A72" w:rsidRDefault="006C4FDD">
            <w:pPr>
              <w:jc w:val="left"/>
              <w:rPr>
                <w:color w:val="000000"/>
                <w:sz w:val="20"/>
                <w:szCs w:val="20"/>
              </w:rPr>
            </w:pPr>
            <w:r>
              <w:rPr>
                <w:rFonts w:hint="eastAsia"/>
                <w:color w:val="000000"/>
                <w:sz w:val="20"/>
                <w:szCs w:val="20"/>
              </w:rPr>
              <w:t>数学与统计学学院</w:t>
            </w:r>
          </w:p>
        </w:tc>
      </w:tr>
      <w:tr w:rsidR="00C00A72" w:rsidTr="00AF434A">
        <w:trPr>
          <w:trHeight w:val="625"/>
        </w:trPr>
        <w:tc>
          <w:tcPr>
            <w:tcW w:w="709" w:type="dxa"/>
            <w:vAlign w:val="center"/>
          </w:tcPr>
          <w:p w:rsidR="00C00A72" w:rsidRDefault="006C4FDD">
            <w:pPr>
              <w:adjustRightInd w:val="0"/>
              <w:snapToGrid w:val="0"/>
              <w:spacing w:line="360" w:lineRule="auto"/>
              <w:jc w:val="center"/>
              <w:rPr>
                <w:rFonts w:cs="Arial"/>
                <w:szCs w:val="21"/>
              </w:rPr>
            </w:pPr>
            <w:r>
              <w:rPr>
                <w:rFonts w:cs="Arial" w:hint="eastAsia"/>
                <w:szCs w:val="21"/>
              </w:rPr>
              <w:t>5</w:t>
            </w:r>
          </w:p>
        </w:tc>
        <w:tc>
          <w:tcPr>
            <w:tcW w:w="3402" w:type="dxa"/>
            <w:vAlign w:val="center"/>
          </w:tcPr>
          <w:p w:rsidR="00C00A72" w:rsidRDefault="006C4FDD">
            <w:pPr>
              <w:jc w:val="left"/>
              <w:rPr>
                <w:color w:val="000000"/>
                <w:sz w:val="20"/>
                <w:szCs w:val="20"/>
              </w:rPr>
            </w:pPr>
            <w:r>
              <w:rPr>
                <w:rFonts w:ascii="Arial" w:hAnsi="Arial" w:cs="Arial"/>
                <w:color w:val="000000"/>
                <w:sz w:val="20"/>
                <w:szCs w:val="20"/>
              </w:rPr>
              <w:t>复微分、差分方程解及其性质的研究</w:t>
            </w:r>
          </w:p>
        </w:tc>
        <w:tc>
          <w:tcPr>
            <w:tcW w:w="992" w:type="dxa"/>
            <w:vAlign w:val="center"/>
          </w:tcPr>
          <w:p w:rsidR="00C00A72" w:rsidRDefault="006C4FDD">
            <w:pPr>
              <w:jc w:val="center"/>
              <w:rPr>
                <w:rFonts w:ascii="宋体" w:hAnsi="宋体" w:cs="Tahoma"/>
                <w:color w:val="000000"/>
                <w:sz w:val="20"/>
                <w:szCs w:val="20"/>
              </w:rPr>
            </w:pPr>
            <w:r>
              <w:rPr>
                <w:rFonts w:cs="Tahoma" w:hint="eastAsia"/>
                <w:color w:val="000000"/>
                <w:sz w:val="20"/>
                <w:szCs w:val="20"/>
              </w:rPr>
              <w:t>王钥</w:t>
            </w:r>
          </w:p>
        </w:tc>
        <w:tc>
          <w:tcPr>
            <w:tcW w:w="1843" w:type="dxa"/>
            <w:vAlign w:val="center"/>
          </w:tcPr>
          <w:p w:rsidR="00C00A72" w:rsidRDefault="006C4FDD">
            <w:pPr>
              <w:jc w:val="center"/>
              <w:rPr>
                <w:color w:val="000000"/>
                <w:sz w:val="20"/>
                <w:szCs w:val="20"/>
              </w:rPr>
            </w:pPr>
            <w:r>
              <w:rPr>
                <w:rFonts w:hint="eastAsia"/>
                <w:color w:val="000000"/>
                <w:sz w:val="20"/>
                <w:szCs w:val="20"/>
              </w:rPr>
              <w:t>青年基金项目</w:t>
            </w:r>
          </w:p>
        </w:tc>
        <w:tc>
          <w:tcPr>
            <w:tcW w:w="1843" w:type="dxa"/>
            <w:vAlign w:val="center"/>
          </w:tcPr>
          <w:p w:rsidR="00C00A72" w:rsidRDefault="006C4FDD">
            <w:pPr>
              <w:jc w:val="left"/>
              <w:rPr>
                <w:color w:val="000000"/>
                <w:sz w:val="20"/>
                <w:szCs w:val="20"/>
              </w:rPr>
            </w:pPr>
            <w:r>
              <w:rPr>
                <w:rFonts w:hint="eastAsia"/>
                <w:color w:val="000000"/>
                <w:sz w:val="20"/>
                <w:szCs w:val="20"/>
              </w:rPr>
              <w:t>数学与统计学学院</w:t>
            </w:r>
          </w:p>
        </w:tc>
      </w:tr>
      <w:tr w:rsidR="00C00A72" w:rsidTr="00AF434A">
        <w:trPr>
          <w:trHeight w:val="625"/>
        </w:trPr>
        <w:tc>
          <w:tcPr>
            <w:tcW w:w="709" w:type="dxa"/>
            <w:vAlign w:val="center"/>
          </w:tcPr>
          <w:p w:rsidR="00C00A72" w:rsidRDefault="006C4FDD">
            <w:pPr>
              <w:adjustRightInd w:val="0"/>
              <w:snapToGrid w:val="0"/>
              <w:spacing w:line="360" w:lineRule="auto"/>
              <w:jc w:val="center"/>
              <w:rPr>
                <w:rFonts w:cs="Arial"/>
                <w:szCs w:val="21"/>
              </w:rPr>
            </w:pPr>
            <w:r>
              <w:rPr>
                <w:rFonts w:cs="Arial" w:hint="eastAsia"/>
                <w:szCs w:val="21"/>
              </w:rPr>
              <w:t>6</w:t>
            </w:r>
          </w:p>
        </w:tc>
        <w:tc>
          <w:tcPr>
            <w:tcW w:w="3402" w:type="dxa"/>
            <w:vAlign w:val="center"/>
          </w:tcPr>
          <w:p w:rsidR="00C00A72" w:rsidRDefault="006C4FDD">
            <w:pPr>
              <w:jc w:val="left"/>
              <w:rPr>
                <w:color w:val="000000"/>
                <w:sz w:val="20"/>
                <w:szCs w:val="20"/>
              </w:rPr>
            </w:pPr>
            <w:r>
              <w:rPr>
                <w:rFonts w:ascii="Arial" w:hAnsi="Arial" w:cs="Arial"/>
                <w:color w:val="000000"/>
                <w:sz w:val="20"/>
                <w:szCs w:val="20"/>
              </w:rPr>
              <w:t>基于认知行为与脑神经视角的资产泡沫形成机理与预防机制研究</w:t>
            </w:r>
          </w:p>
        </w:tc>
        <w:tc>
          <w:tcPr>
            <w:tcW w:w="992" w:type="dxa"/>
            <w:vAlign w:val="center"/>
          </w:tcPr>
          <w:p w:rsidR="00C00A72" w:rsidRDefault="006C4FDD">
            <w:pPr>
              <w:jc w:val="center"/>
              <w:rPr>
                <w:color w:val="000000"/>
                <w:sz w:val="20"/>
                <w:szCs w:val="20"/>
              </w:rPr>
            </w:pPr>
            <w:r>
              <w:rPr>
                <w:rFonts w:hint="eastAsia"/>
                <w:color w:val="000000"/>
                <w:sz w:val="20"/>
                <w:szCs w:val="20"/>
              </w:rPr>
              <w:t>张琨</w:t>
            </w:r>
          </w:p>
        </w:tc>
        <w:tc>
          <w:tcPr>
            <w:tcW w:w="1843" w:type="dxa"/>
            <w:vAlign w:val="center"/>
          </w:tcPr>
          <w:p w:rsidR="00C00A72" w:rsidRDefault="006C4FDD">
            <w:pPr>
              <w:jc w:val="center"/>
              <w:rPr>
                <w:color w:val="000000"/>
                <w:sz w:val="20"/>
                <w:szCs w:val="20"/>
              </w:rPr>
            </w:pPr>
            <w:r>
              <w:rPr>
                <w:rFonts w:hint="eastAsia"/>
                <w:color w:val="000000"/>
                <w:sz w:val="20"/>
                <w:szCs w:val="20"/>
              </w:rPr>
              <w:t>青年基金项目</w:t>
            </w:r>
          </w:p>
        </w:tc>
        <w:tc>
          <w:tcPr>
            <w:tcW w:w="1843" w:type="dxa"/>
            <w:vAlign w:val="center"/>
          </w:tcPr>
          <w:p w:rsidR="00C00A72" w:rsidRDefault="006C4FDD">
            <w:pPr>
              <w:jc w:val="left"/>
              <w:rPr>
                <w:color w:val="000000"/>
                <w:sz w:val="20"/>
                <w:szCs w:val="20"/>
              </w:rPr>
            </w:pPr>
            <w:r>
              <w:rPr>
                <w:rFonts w:hint="eastAsia"/>
                <w:color w:val="000000"/>
                <w:sz w:val="20"/>
                <w:szCs w:val="20"/>
              </w:rPr>
              <w:t>商学院</w:t>
            </w:r>
          </w:p>
        </w:tc>
      </w:tr>
      <w:tr w:rsidR="00C00A72" w:rsidTr="00AF434A">
        <w:trPr>
          <w:trHeight w:val="625"/>
        </w:trPr>
        <w:tc>
          <w:tcPr>
            <w:tcW w:w="709" w:type="dxa"/>
            <w:vAlign w:val="center"/>
          </w:tcPr>
          <w:p w:rsidR="00C00A72" w:rsidRDefault="006C4FDD">
            <w:pPr>
              <w:adjustRightInd w:val="0"/>
              <w:snapToGrid w:val="0"/>
              <w:spacing w:line="360" w:lineRule="auto"/>
              <w:jc w:val="center"/>
              <w:rPr>
                <w:rFonts w:cs="Arial"/>
                <w:szCs w:val="21"/>
              </w:rPr>
            </w:pPr>
            <w:r>
              <w:rPr>
                <w:rFonts w:cs="Arial" w:hint="eastAsia"/>
                <w:szCs w:val="21"/>
              </w:rPr>
              <w:t>7</w:t>
            </w:r>
          </w:p>
        </w:tc>
        <w:tc>
          <w:tcPr>
            <w:tcW w:w="3402" w:type="dxa"/>
            <w:vAlign w:val="center"/>
          </w:tcPr>
          <w:p w:rsidR="00C00A72" w:rsidRDefault="006C4FDD">
            <w:pPr>
              <w:widowControl/>
              <w:rPr>
                <w:rFonts w:ascii="Arial" w:hAnsi="Arial" w:cs="Arial"/>
                <w:color w:val="000000"/>
                <w:sz w:val="20"/>
                <w:szCs w:val="20"/>
              </w:rPr>
            </w:pPr>
            <w:r>
              <w:rPr>
                <w:rFonts w:ascii="Arial" w:hAnsi="Arial" w:cs="Arial"/>
                <w:color w:val="000000"/>
                <w:sz w:val="20"/>
                <w:szCs w:val="20"/>
              </w:rPr>
              <w:t>地方党政正职领导干部成长路径分析</w:t>
            </w:r>
            <w:r>
              <w:rPr>
                <w:rFonts w:ascii="Arial" w:hAnsi="Arial" w:cs="Arial"/>
                <w:color w:val="000000"/>
                <w:sz w:val="20"/>
                <w:szCs w:val="20"/>
              </w:rPr>
              <w:t xml:space="preserve"> </w:t>
            </w:r>
          </w:p>
        </w:tc>
        <w:tc>
          <w:tcPr>
            <w:tcW w:w="992" w:type="dxa"/>
            <w:vAlign w:val="center"/>
          </w:tcPr>
          <w:p w:rsidR="00C00A72" w:rsidRDefault="006C4FDD">
            <w:pPr>
              <w:jc w:val="center"/>
              <w:rPr>
                <w:color w:val="000000"/>
                <w:sz w:val="20"/>
                <w:szCs w:val="20"/>
              </w:rPr>
            </w:pPr>
            <w:r>
              <w:rPr>
                <w:rFonts w:hint="eastAsia"/>
                <w:color w:val="000000"/>
                <w:sz w:val="20"/>
                <w:szCs w:val="20"/>
              </w:rPr>
              <w:t>周景坤</w:t>
            </w:r>
          </w:p>
        </w:tc>
        <w:tc>
          <w:tcPr>
            <w:tcW w:w="1843" w:type="dxa"/>
            <w:vAlign w:val="center"/>
          </w:tcPr>
          <w:p w:rsidR="00C00A72" w:rsidRDefault="006C4FDD">
            <w:pPr>
              <w:jc w:val="center"/>
              <w:rPr>
                <w:color w:val="000000"/>
                <w:sz w:val="20"/>
                <w:szCs w:val="20"/>
              </w:rPr>
            </w:pPr>
            <w:r>
              <w:rPr>
                <w:rFonts w:hint="eastAsia"/>
                <w:color w:val="000000"/>
                <w:sz w:val="20"/>
                <w:szCs w:val="20"/>
              </w:rPr>
              <w:t>应急项目</w:t>
            </w:r>
          </w:p>
        </w:tc>
        <w:tc>
          <w:tcPr>
            <w:tcW w:w="1843" w:type="dxa"/>
            <w:vAlign w:val="center"/>
          </w:tcPr>
          <w:p w:rsidR="00C00A72" w:rsidRDefault="006C4FDD">
            <w:pPr>
              <w:jc w:val="left"/>
              <w:rPr>
                <w:color w:val="000000"/>
                <w:sz w:val="20"/>
                <w:szCs w:val="20"/>
              </w:rPr>
            </w:pPr>
            <w:r>
              <w:rPr>
                <w:rFonts w:hint="eastAsia"/>
                <w:color w:val="000000"/>
                <w:sz w:val="20"/>
                <w:szCs w:val="20"/>
              </w:rPr>
              <w:t>公共管理学院</w:t>
            </w:r>
          </w:p>
        </w:tc>
      </w:tr>
    </w:tbl>
    <w:p w:rsidR="00C00A72" w:rsidRDefault="00C00A72">
      <w:pPr>
        <w:adjustRightInd w:val="0"/>
        <w:snapToGrid w:val="0"/>
        <w:spacing w:line="360" w:lineRule="auto"/>
        <w:rPr>
          <w:rFonts w:ascii="仿宋_GB2312" w:eastAsia="仿宋_GB2312" w:hAnsi="仿宋" w:cs="仿宋"/>
          <w:sz w:val="32"/>
          <w:szCs w:val="32"/>
        </w:rPr>
      </w:pPr>
    </w:p>
    <w:p w:rsidR="00C00A72" w:rsidRPr="00AF434A" w:rsidRDefault="006C4FDD" w:rsidP="00AF434A">
      <w:pPr>
        <w:adjustRightInd w:val="0"/>
        <w:snapToGrid w:val="0"/>
        <w:spacing w:line="360" w:lineRule="auto"/>
        <w:ind w:firstLineChars="200" w:firstLine="611"/>
        <w:rPr>
          <w:rFonts w:ascii="仿宋_GB2312" w:eastAsia="仿宋_GB2312" w:hAnsi="仿宋" w:cs="仿宋"/>
          <w:b/>
          <w:spacing w:val="-8"/>
          <w:sz w:val="32"/>
          <w:szCs w:val="32"/>
        </w:rPr>
      </w:pPr>
      <w:r w:rsidRPr="00AF434A">
        <w:rPr>
          <w:rFonts w:ascii="仿宋_GB2312" w:eastAsia="仿宋_GB2312" w:hAnsi="仿宋" w:cs="仿宋" w:hint="eastAsia"/>
          <w:b/>
          <w:spacing w:val="-8"/>
          <w:sz w:val="32"/>
          <w:szCs w:val="32"/>
        </w:rPr>
        <w:t>二、精心整合优势成果，高层次科研成果获奖数量创历史新高</w:t>
      </w:r>
    </w:p>
    <w:p w:rsidR="00C00A72" w:rsidRDefault="006C4FDD">
      <w:pPr>
        <w:adjustRightInd w:val="0"/>
        <w:snapToGrid w:val="0"/>
        <w:spacing w:line="360" w:lineRule="auto"/>
        <w:ind w:firstLineChars="200" w:firstLine="640"/>
        <w:rPr>
          <w:rFonts w:ascii="仿宋_GB2312" w:eastAsia="仿宋_GB2312" w:hAnsi="仿宋" w:cs="仿宋"/>
          <w:b/>
          <w:sz w:val="32"/>
          <w:szCs w:val="32"/>
        </w:rPr>
      </w:pPr>
      <w:r>
        <w:rPr>
          <w:rFonts w:ascii="仿宋_GB2312" w:eastAsia="仿宋_GB2312" w:hAnsi="仿宋" w:cs="仿宋" w:hint="eastAsia"/>
          <w:sz w:val="32"/>
          <w:szCs w:val="32"/>
        </w:rPr>
        <w:t>我校在2018年第十六届河北省社会科学优秀成果奖评选中取得优异成绩。共</w:t>
      </w:r>
      <w:r>
        <w:rPr>
          <w:rFonts w:ascii="仿宋_GB2312" w:eastAsia="仿宋_GB2312" w:hAnsi="仿宋" w:cs="仿宋"/>
          <w:sz w:val="32"/>
          <w:szCs w:val="32"/>
        </w:rPr>
        <w:t>22</w:t>
      </w:r>
      <w:r>
        <w:rPr>
          <w:rFonts w:ascii="仿宋_GB2312" w:eastAsia="仿宋_GB2312" w:hAnsi="仿宋" w:cs="仿宋" w:hint="eastAsia"/>
          <w:sz w:val="32"/>
          <w:szCs w:val="32"/>
        </w:rPr>
        <w:t>项成果获奖，其中一等奖</w:t>
      </w:r>
      <w:r>
        <w:rPr>
          <w:rFonts w:ascii="仿宋_GB2312" w:eastAsia="仿宋_GB2312" w:hAnsi="仿宋" w:cs="仿宋"/>
          <w:sz w:val="32"/>
          <w:szCs w:val="32"/>
        </w:rPr>
        <w:t>5</w:t>
      </w:r>
      <w:r>
        <w:rPr>
          <w:rFonts w:ascii="仿宋_GB2312" w:eastAsia="仿宋_GB2312" w:hAnsi="仿宋" w:cs="仿宋" w:hint="eastAsia"/>
          <w:sz w:val="32"/>
          <w:szCs w:val="32"/>
        </w:rPr>
        <w:t>项，二等奖</w:t>
      </w:r>
      <w:r>
        <w:rPr>
          <w:rFonts w:ascii="仿宋_GB2312" w:eastAsia="仿宋_GB2312" w:hAnsi="仿宋" w:cs="仿宋"/>
          <w:sz w:val="32"/>
          <w:szCs w:val="32"/>
        </w:rPr>
        <w:t>5</w:t>
      </w:r>
      <w:r>
        <w:rPr>
          <w:rFonts w:ascii="仿宋_GB2312" w:eastAsia="仿宋_GB2312" w:hAnsi="仿宋" w:cs="仿宋" w:hint="eastAsia"/>
          <w:sz w:val="32"/>
          <w:szCs w:val="32"/>
        </w:rPr>
        <w:t>项，三等奖</w:t>
      </w:r>
      <w:r>
        <w:rPr>
          <w:rFonts w:ascii="仿宋_GB2312" w:eastAsia="仿宋_GB2312" w:hAnsi="仿宋" w:cs="仿宋"/>
          <w:sz w:val="32"/>
          <w:szCs w:val="32"/>
        </w:rPr>
        <w:t>12</w:t>
      </w:r>
      <w:r>
        <w:rPr>
          <w:rFonts w:ascii="仿宋_GB2312" w:eastAsia="仿宋_GB2312" w:hAnsi="仿宋" w:cs="仿宋" w:hint="eastAsia"/>
          <w:sz w:val="32"/>
          <w:szCs w:val="32"/>
        </w:rPr>
        <w:t>项。获奖名单如下：</w:t>
      </w:r>
    </w:p>
    <w:tbl>
      <w:tblPr>
        <w:tblW w:w="8931" w:type="dxa"/>
        <w:tblCellSpacing w:w="0" w:type="dxa"/>
        <w:tblInd w:w="20" w:type="dxa"/>
        <w:shd w:val="clear" w:color="auto" w:fill="FFFFFF"/>
        <w:tblLayout w:type="fixed"/>
        <w:tblCellMar>
          <w:left w:w="0" w:type="dxa"/>
          <w:right w:w="0" w:type="dxa"/>
        </w:tblCellMar>
        <w:tblLook w:val="04A0"/>
      </w:tblPr>
      <w:tblGrid>
        <w:gridCol w:w="709"/>
        <w:gridCol w:w="1134"/>
        <w:gridCol w:w="2977"/>
        <w:gridCol w:w="1134"/>
        <w:gridCol w:w="1276"/>
        <w:gridCol w:w="1701"/>
      </w:tblGrid>
      <w:tr w:rsidR="00C00A72" w:rsidTr="00AF434A">
        <w:trPr>
          <w:trHeight w:val="527"/>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序号</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获奖人</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成果题目</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获奖等级</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成果类别</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单位</w:t>
            </w:r>
          </w:p>
        </w:tc>
      </w:tr>
      <w:tr w:rsidR="00C00A72" w:rsidTr="00AF434A">
        <w:trPr>
          <w:trHeight w:val="538"/>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纪良纲等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农产品供应链整合研究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一等奖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校长办公室</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2</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陈亮等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京津冀协同发展背景下河北省人力资本积累路径研究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一等奖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校长办公室</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3</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许海元</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大学生心理资本积累及其教育管理</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一等奖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纪委办公室</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4</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张晋武等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公共物品概念定义的缺陷及其重新建构</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一等奖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论文</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科研处</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5</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王莹</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社会治理创新中伦理作用现状与对策研究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一等奖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研究报告</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河北志愿服务学院</w:t>
            </w:r>
          </w:p>
        </w:tc>
      </w:tr>
      <w:tr w:rsidR="00C00A72" w:rsidTr="00AF434A">
        <w:trPr>
          <w:trHeight w:val="762"/>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6</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习亚哲</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我国公共经济责任体系与机制研究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二等奖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财政税务学院</w:t>
            </w:r>
          </w:p>
        </w:tc>
      </w:tr>
      <w:tr w:rsidR="00C00A72" w:rsidTr="00AF434A">
        <w:trPr>
          <w:trHeight w:val="659"/>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lastRenderedPageBreak/>
              <w:t>7</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王利军等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村镇银行法律制度研究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二等奖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法学院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8</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祁红梅</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协同创新知识产权风险影响创新绩效研究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二等奖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旅游学院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9</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张金桐等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媒介与传播研究发展报告（</w:t>
            </w:r>
            <w:r>
              <w:rPr>
                <w:rFonts w:ascii="宋体" w:hAnsi="宋体" w:cs="宋体"/>
                <w:kern w:val="0"/>
                <w:sz w:val="22"/>
                <w:szCs w:val="22"/>
              </w:rPr>
              <w:t>2016-2017</w:t>
            </w:r>
            <w:r>
              <w:rPr>
                <w:rFonts w:ascii="宋体" w:hAnsi="宋体" w:cs="宋体" w:hint="eastAsia"/>
                <w:kern w:val="0"/>
                <w:sz w:val="22"/>
                <w:szCs w:val="22"/>
              </w:rPr>
              <w:t>）</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二等奖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文化与传播学院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10</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程瑞芳等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京津冀旅游资源整合与产业关联发展研究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二等奖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教务处</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11</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王小平</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产业绿色转型与环保服务业发展</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商学院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12</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王重润等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农村中小金融机构金融创新绩效研究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金融学院</w:t>
            </w:r>
          </w:p>
        </w:tc>
      </w:tr>
      <w:tr w:rsidR="00C00A72" w:rsidTr="00AF434A">
        <w:trPr>
          <w:trHeight w:val="504"/>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13</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刘景枝</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新闻集团传媒产业价值链研究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工商管理学院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14</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孙克新等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可转债融资风险预警管理理论及实证研究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会计学院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15</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袁振兴等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小股东利益分配制度及其权益保护研究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会计学院</w:t>
            </w:r>
          </w:p>
        </w:tc>
      </w:tr>
      <w:tr w:rsidR="00C00A72" w:rsidTr="00AF434A">
        <w:trPr>
          <w:trHeight w:val="464"/>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16</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徐利华</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宋代雅乐乐歌研究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文化与传播学院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17</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郭雪慧</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扩散性利益保护诉讼制度研究：比较与借鉴</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著作</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法学院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18</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周景坤等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我国雾霾防治政策的供给演进、绩效测评与优化策略研究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系列论文</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公共管理学院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19</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柴国俊等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中国征地补偿及其经济效应研究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系列论文</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商学院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20</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田学斌等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深化京津冀协同创新的对策建议</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研究报告</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经济研究所</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21</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李西文等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京津冀引导基金、创业资本和创业企业协同效应的形成机理研究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研究报告</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会计学院</w:t>
            </w:r>
          </w:p>
        </w:tc>
      </w:tr>
      <w:tr w:rsidR="00C00A72" w:rsidTr="00AF434A">
        <w:trPr>
          <w:tblCellSpacing w:w="0" w:type="dxa"/>
        </w:trPr>
        <w:tc>
          <w:tcPr>
            <w:tcW w:w="709"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4"/>
              </w:rPr>
              <w:t>22</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解建立等</w:t>
            </w:r>
          </w:p>
        </w:tc>
        <w:tc>
          <w:tcPr>
            <w:tcW w:w="2977"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left"/>
              <w:rPr>
                <w:rFonts w:ascii="宋体" w:hAnsi="宋体" w:cs="宋体"/>
                <w:kern w:val="0"/>
                <w:sz w:val="24"/>
              </w:rPr>
            </w:pPr>
            <w:r>
              <w:rPr>
                <w:rFonts w:ascii="宋体" w:hAnsi="宋体" w:cs="宋体" w:hint="eastAsia"/>
                <w:kern w:val="0"/>
                <w:sz w:val="22"/>
                <w:szCs w:val="22"/>
              </w:rPr>
              <w:t>乡村振兴战略背景下河北省农村环境公共服务供给及维护机制研究</w:t>
            </w:r>
          </w:p>
        </w:tc>
        <w:tc>
          <w:tcPr>
            <w:tcW w:w="1134"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三等奖</w:t>
            </w:r>
          </w:p>
        </w:tc>
        <w:tc>
          <w:tcPr>
            <w:tcW w:w="1276"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研究报告</w:t>
            </w:r>
          </w:p>
        </w:tc>
        <w:tc>
          <w:tcPr>
            <w:tcW w:w="1701" w:type="dxa"/>
            <w:tcBorders>
              <w:top w:val="single" w:sz="8" w:space="0" w:color="auto"/>
              <w:left w:val="single" w:sz="8" w:space="0" w:color="auto"/>
              <w:bottom w:val="single" w:sz="8" w:space="0" w:color="auto"/>
              <w:right w:val="single" w:sz="8" w:space="0" w:color="auto"/>
            </w:tcBorders>
            <w:shd w:val="clear" w:color="auto" w:fill="FFFFFF"/>
            <w:vAlign w:val="center"/>
          </w:tcPr>
          <w:p w:rsidR="00C00A72" w:rsidRDefault="006C4FDD">
            <w:pPr>
              <w:widowControl/>
              <w:spacing w:before="100" w:beforeAutospacing="1" w:after="100" w:afterAutospacing="1"/>
              <w:ind w:left="30"/>
              <w:jc w:val="center"/>
              <w:rPr>
                <w:rFonts w:ascii="宋体" w:hAnsi="宋体" w:cs="宋体"/>
                <w:kern w:val="0"/>
                <w:sz w:val="24"/>
              </w:rPr>
            </w:pPr>
            <w:r>
              <w:rPr>
                <w:rFonts w:ascii="宋体" w:hAnsi="宋体" w:cs="宋体" w:hint="eastAsia"/>
                <w:kern w:val="0"/>
                <w:sz w:val="22"/>
                <w:szCs w:val="22"/>
              </w:rPr>
              <w:t>财政税务学院</w:t>
            </w:r>
          </w:p>
        </w:tc>
      </w:tr>
    </w:tbl>
    <w:p w:rsidR="00C00A72" w:rsidRDefault="00C00A72">
      <w:pPr>
        <w:adjustRightInd w:val="0"/>
        <w:snapToGrid w:val="0"/>
        <w:spacing w:line="360" w:lineRule="auto"/>
        <w:rPr>
          <w:rFonts w:ascii="仿宋_GB2312" w:eastAsia="仿宋_GB2312" w:hAnsi="仿宋" w:cs="仿宋"/>
          <w:b/>
          <w:sz w:val="32"/>
          <w:szCs w:val="32"/>
        </w:rPr>
      </w:pPr>
    </w:p>
    <w:p w:rsidR="00C00A72" w:rsidRPr="0006054E" w:rsidRDefault="006C4FDD" w:rsidP="0006054E">
      <w:pPr>
        <w:adjustRightInd w:val="0"/>
        <w:snapToGrid w:val="0"/>
        <w:spacing w:line="360" w:lineRule="auto"/>
        <w:ind w:firstLineChars="200" w:firstLine="603"/>
        <w:rPr>
          <w:rFonts w:ascii="仿宋_GB2312" w:eastAsia="仿宋_GB2312" w:hAnsi="仿宋" w:cs="仿宋"/>
          <w:b/>
          <w:spacing w:val="-10"/>
          <w:sz w:val="32"/>
          <w:szCs w:val="32"/>
        </w:rPr>
      </w:pPr>
      <w:r w:rsidRPr="0006054E">
        <w:rPr>
          <w:rFonts w:ascii="仿宋_GB2312" w:eastAsia="仿宋_GB2312" w:hAnsi="仿宋" w:cs="仿宋" w:hint="eastAsia"/>
          <w:b/>
          <w:spacing w:val="-10"/>
          <w:sz w:val="32"/>
          <w:szCs w:val="32"/>
        </w:rPr>
        <w:t>三、聚焦国家</w:t>
      </w:r>
      <w:r w:rsidR="0006054E" w:rsidRPr="0006054E">
        <w:rPr>
          <w:rFonts w:ascii="仿宋_GB2312" w:eastAsia="仿宋_GB2312" w:hAnsi="仿宋" w:cs="仿宋" w:hint="eastAsia"/>
          <w:b/>
          <w:spacing w:val="-10"/>
          <w:sz w:val="32"/>
          <w:szCs w:val="32"/>
        </w:rPr>
        <w:t>与我省</w:t>
      </w:r>
      <w:r w:rsidRPr="0006054E">
        <w:rPr>
          <w:rFonts w:ascii="仿宋_GB2312" w:eastAsia="仿宋_GB2312" w:hAnsi="仿宋" w:cs="仿宋" w:hint="eastAsia"/>
          <w:b/>
          <w:spacing w:val="-10"/>
          <w:sz w:val="32"/>
          <w:szCs w:val="32"/>
        </w:rPr>
        <w:t xml:space="preserve">重大需求，打造高端特色智库产品与品牌 </w:t>
      </w:r>
    </w:p>
    <w:p w:rsidR="00C00A72" w:rsidRDefault="006C4FDD">
      <w:pPr>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河北经贸大学智库信息中心，是河北省成立的首个高校智库信息中心，得到省社科规划办公室领导高度肯定。2018年我校智库持续有效地搜集整合各方信息，全力打造经贸智库的拳头产品，</w:t>
      </w:r>
      <w:r>
        <w:rPr>
          <w:rFonts w:ascii="仿宋_GB2312" w:eastAsia="仿宋_GB2312" w:hAnsi="仿宋" w:cs="仿宋" w:hint="eastAsia"/>
          <w:sz w:val="32"/>
          <w:szCs w:val="32"/>
        </w:rPr>
        <w:lastRenderedPageBreak/>
        <w:t>塑造品牌，智库信息中心出品的智库专报正打通送往省委、省政府和有关部门的通道，为经贸教师的</w:t>
      </w:r>
      <w:r w:rsidR="007F1BDC">
        <w:rPr>
          <w:rFonts w:ascii="仿宋_GB2312" w:eastAsia="仿宋_GB2312" w:hAnsi="仿宋" w:cs="仿宋" w:hint="eastAsia"/>
          <w:sz w:val="32"/>
          <w:szCs w:val="32"/>
        </w:rPr>
        <w:t>咨政</w:t>
      </w:r>
      <w:r>
        <w:rPr>
          <w:rFonts w:ascii="仿宋_GB2312" w:eastAsia="仿宋_GB2312" w:hAnsi="仿宋" w:cs="仿宋" w:hint="eastAsia"/>
          <w:sz w:val="32"/>
          <w:szCs w:val="32"/>
        </w:rPr>
        <w:t>启民建议“顶天立地”创造条件。</w:t>
      </w:r>
    </w:p>
    <w:p w:rsidR="00C00A72" w:rsidRDefault="006C4FDD">
      <w:pPr>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1.坚持问题导向、破解河北经济发展难题。针对河北奶牛养殖业发展存在的问题，组织学校专家深入调研，分析原因，提出了符合省情的解决对策，获得了许勤省长和时清霜副省长的肯定性批示。</w:t>
      </w:r>
    </w:p>
    <w:p w:rsidR="00C00A72" w:rsidRDefault="006C4FDD">
      <w:pPr>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sidR="00B74449">
        <w:rPr>
          <w:rFonts w:ascii="仿宋_GB2312" w:eastAsia="仿宋_GB2312" w:hAnsi="仿宋" w:cs="仿宋" w:hint="eastAsia"/>
          <w:sz w:val="32"/>
          <w:szCs w:val="32"/>
        </w:rPr>
        <w:t>与国内外开展广泛交流</w:t>
      </w:r>
      <w:r>
        <w:rPr>
          <w:rFonts w:ascii="仿宋_GB2312" w:eastAsia="仿宋_GB2312" w:hAnsi="仿宋" w:cs="仿宋" w:hint="eastAsia"/>
          <w:sz w:val="32"/>
          <w:szCs w:val="32"/>
        </w:rPr>
        <w:t>，培育特色智库产品与品牌。依托加德满都大学孔子学院，创建了经贸大学尼泊尔研究中心，举办“河北参与中尼一带一路建设学术研讨会”，邀请尼泊尔驻华大使及国内尼泊尔问题顶级专家出席“新时代中尼‘一带一路’合作国际学术论坛”，打造尼泊尔问题研究高地，在国内智库领域引起重视并产生较大影响。</w:t>
      </w:r>
    </w:p>
    <w:p w:rsidR="00C00A72" w:rsidRDefault="006C4FDD">
      <w:pPr>
        <w:pStyle w:val="af0"/>
        <w:snapToGrid w:val="0"/>
        <w:spacing w:line="360" w:lineRule="auto"/>
        <w:ind w:firstLine="640"/>
        <w:rPr>
          <w:rFonts w:ascii="仿宋_GB2312" w:eastAsia="仿宋_GB2312" w:hAnsi="仿宋" w:cs="仿宋"/>
          <w:sz w:val="32"/>
          <w:szCs w:val="32"/>
        </w:rPr>
      </w:pPr>
      <w:r>
        <w:rPr>
          <w:rFonts w:ascii="仿宋_GB2312" w:eastAsia="仿宋_GB2312" w:hAnsi="仿宋" w:cs="仿宋" w:hint="eastAsia"/>
          <w:sz w:val="32"/>
          <w:szCs w:val="32"/>
        </w:rPr>
        <w:t>3.多措并举构建智库生态环境。智库信息中心设立后，推出微信公众号，编辑出版《智库专报》及《智库一周简报》，打造良好的智库生态环境。主动对接政府各部门需求，采集社会热点、难点问题，及时组织校内外智库专家给出高质量对策建议，通过各种渠道报送、发布。</w:t>
      </w:r>
    </w:p>
    <w:p w:rsidR="00C00A72" w:rsidRPr="00493C78" w:rsidRDefault="006C4FDD" w:rsidP="00493C78">
      <w:pPr>
        <w:adjustRightInd w:val="0"/>
        <w:snapToGrid w:val="0"/>
        <w:spacing w:line="360" w:lineRule="auto"/>
        <w:ind w:firstLineChars="200" w:firstLine="571"/>
        <w:rPr>
          <w:rFonts w:ascii="仿宋_GB2312" w:eastAsia="仿宋_GB2312" w:hAnsi="仿宋" w:cs="仿宋"/>
          <w:b/>
          <w:color w:val="000000"/>
          <w:spacing w:val="-18"/>
          <w:sz w:val="32"/>
          <w:szCs w:val="32"/>
        </w:rPr>
      </w:pPr>
      <w:r w:rsidRPr="00493C78">
        <w:rPr>
          <w:rFonts w:ascii="仿宋_GB2312" w:eastAsia="仿宋_GB2312" w:hAnsi="仿宋" w:cs="仿宋" w:hint="eastAsia"/>
          <w:b/>
          <w:color w:val="000000"/>
          <w:spacing w:val="-18"/>
          <w:sz w:val="32"/>
          <w:szCs w:val="32"/>
        </w:rPr>
        <w:t>四、精准落实国家</w:t>
      </w:r>
      <w:r w:rsidR="00A61C07">
        <w:rPr>
          <w:rFonts w:ascii="仿宋_GB2312" w:eastAsia="仿宋_GB2312" w:hAnsi="仿宋" w:cs="仿宋" w:hint="eastAsia"/>
          <w:b/>
          <w:color w:val="000000"/>
          <w:spacing w:val="-18"/>
          <w:sz w:val="32"/>
          <w:szCs w:val="32"/>
        </w:rPr>
        <w:t>与我省</w:t>
      </w:r>
      <w:r w:rsidRPr="00493C78">
        <w:rPr>
          <w:rFonts w:ascii="仿宋_GB2312" w:eastAsia="仿宋_GB2312" w:hAnsi="仿宋" w:cs="仿宋" w:hint="eastAsia"/>
          <w:b/>
          <w:color w:val="000000"/>
          <w:spacing w:val="-18"/>
          <w:sz w:val="32"/>
          <w:szCs w:val="32"/>
        </w:rPr>
        <w:t>科研政策导向，更新优化我校科研管理体系</w:t>
      </w:r>
    </w:p>
    <w:p w:rsidR="00C00A72" w:rsidRDefault="006C4FDD" w:rsidP="00C07D89">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为了更好地发挥和规范学术委员会委员的作用,制定了《河北经贸大学学术委员会章程》校办字【2018】14号。经单位民主推荐，校长提名，校党委常委会讨论通过，组建了新一届校学术委</w:t>
      </w:r>
      <w:r>
        <w:rPr>
          <w:rFonts w:ascii="仿宋_GB2312" w:eastAsia="仿宋_GB2312" w:hAnsi="仿宋" w:cs="仿宋" w:hint="eastAsia"/>
          <w:sz w:val="32"/>
          <w:szCs w:val="32"/>
        </w:rPr>
        <w:lastRenderedPageBreak/>
        <w:t>员会（校办字【2018】13号）。对《河北经贸大学科研经费管理办法》做了补充规定，出台了《河北经贸大学科研经费管理补充规定（2018）》校办字【2018】50号。</w:t>
      </w:r>
    </w:p>
    <w:p w:rsidR="00C00A72" w:rsidRDefault="006C4F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为引导教师发表高水平学术论文，强化科研特色，优化学科布局，结合学校实际，参考相关高校的先进做法和经验，按照公平、公正、公开的原则，制定了《河北经贸大学期刊分类目录》校科字【2018】6号。</w:t>
      </w:r>
      <w:r>
        <w:rPr>
          <w:rFonts w:ascii="仿宋_GB2312" w:eastAsia="仿宋_GB2312" w:hAnsi="仿宋" w:cs="仿宋" w:hint="eastAsia"/>
          <w:sz w:val="32"/>
          <w:szCs w:val="32"/>
        </w:rPr>
        <w:t>结合该期刊分类目表，出台了《河</w:t>
      </w:r>
      <w:r>
        <w:rPr>
          <w:rFonts w:ascii="仿宋_GB2312" w:eastAsia="仿宋_GB2312" w:hAnsi="仿宋_GB2312" w:cs="仿宋_GB2312" w:hint="eastAsia"/>
          <w:sz w:val="32"/>
          <w:szCs w:val="32"/>
        </w:rPr>
        <w:t>北经贸大学科研奖励办法（2018版）》校科字【2018】7号，以此激励教师高水平成果的发表，进而提高我校教学、科研水平及社会服务能力，促进学科建设和专业人才培养。为鼓励广大教职工开展高层次科学研究的积极性，促进我校科研事业健康、持续发展制定了《河北经贸大学校内科研先进集体评选办法（2018版）》校科字【2018】10号。</w:t>
      </w:r>
    </w:p>
    <w:p w:rsidR="00C07D89" w:rsidRDefault="00C07D8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为落实</w:t>
      </w:r>
      <w:r w:rsidRPr="00C07D89">
        <w:rPr>
          <w:rFonts w:ascii="仿宋_GB2312" w:eastAsia="仿宋_GB2312" w:hAnsi="仿宋_GB2312" w:cs="仿宋_GB2312" w:hint="eastAsia"/>
          <w:sz w:val="32"/>
          <w:szCs w:val="32"/>
        </w:rPr>
        <w:t>《教育部 科技部 关于加强高等学校科技成果转移转化工作的若干意见》《教育部办公厅关于高校进一步落实以增加知识价值为导向分配政策有关事项的通知》（教技厅函</w:t>
      </w:r>
      <w:r>
        <w:rPr>
          <w:rFonts w:ascii="仿宋_GB2312" w:eastAsia="仿宋_GB2312" w:hAnsi="仿宋_GB2312" w:cs="仿宋_GB2312" w:hint="eastAsia"/>
          <w:sz w:val="32"/>
          <w:szCs w:val="32"/>
        </w:rPr>
        <w:t>【</w:t>
      </w:r>
      <w:r w:rsidRPr="00C07D89">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sidRPr="00C07D89">
        <w:rPr>
          <w:rFonts w:ascii="仿宋_GB2312" w:eastAsia="仿宋_GB2312" w:hAnsi="仿宋_GB2312" w:cs="仿宋_GB2312" w:hint="eastAsia"/>
          <w:sz w:val="32"/>
          <w:szCs w:val="32"/>
        </w:rPr>
        <w:t>91号）《教育部办公厅关于进一步推动高校落实科技成果转化政策相关事项的通知》（教技厅函</w:t>
      </w:r>
      <w:r>
        <w:rPr>
          <w:rFonts w:ascii="仿宋_GB2312" w:eastAsia="仿宋_GB2312" w:hAnsi="仿宋_GB2312" w:cs="仿宋_GB2312" w:hint="eastAsia"/>
          <w:sz w:val="32"/>
          <w:szCs w:val="32"/>
        </w:rPr>
        <w:t>【</w:t>
      </w:r>
      <w:r w:rsidRPr="00C07D89">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sidRPr="00C07D89">
        <w:rPr>
          <w:rFonts w:ascii="仿宋_GB2312" w:eastAsia="仿宋_GB2312" w:hAnsi="仿宋_GB2312" w:cs="仿宋_GB2312" w:hint="eastAsia"/>
          <w:sz w:val="32"/>
          <w:szCs w:val="32"/>
        </w:rPr>
        <w:t>139号）及《河北省促进高等学校和科研院所科技成果转化暂行办法》等相关文件的精神</w:t>
      </w:r>
      <w:r>
        <w:rPr>
          <w:rFonts w:ascii="仿宋_GB2312" w:eastAsia="仿宋_GB2312" w:hAnsi="仿宋_GB2312" w:cs="仿宋_GB2312" w:hint="eastAsia"/>
          <w:sz w:val="32"/>
          <w:szCs w:val="32"/>
        </w:rPr>
        <w:t>，我校成立了“科技成果转化中心”</w:t>
      </w:r>
      <w:r w:rsidR="00A61C07">
        <w:rPr>
          <w:rFonts w:ascii="仿宋_GB2312" w:eastAsia="仿宋_GB2312" w:hAnsi="仿宋_GB2312" w:cs="仿宋_GB2312" w:hint="eastAsia"/>
          <w:sz w:val="32"/>
          <w:szCs w:val="32"/>
        </w:rPr>
        <w:t>，并正在起草《科技成果转化管理办法》。</w:t>
      </w:r>
      <w:r>
        <w:rPr>
          <w:rFonts w:ascii="仿宋_GB2312" w:eastAsia="仿宋_GB2312" w:hAnsi="仿宋_GB2312" w:cs="仿宋_GB2312" w:hint="eastAsia"/>
          <w:sz w:val="32"/>
          <w:szCs w:val="32"/>
        </w:rPr>
        <w:t>中心的成立</w:t>
      </w:r>
      <w:r w:rsidR="00122561">
        <w:rPr>
          <w:rFonts w:ascii="仿宋_GB2312" w:eastAsia="仿宋_GB2312" w:hAnsi="仿宋_GB2312" w:cs="仿宋_GB2312" w:hint="eastAsia"/>
          <w:sz w:val="32"/>
          <w:szCs w:val="32"/>
        </w:rPr>
        <w:t>促进</w:t>
      </w:r>
      <w:r>
        <w:rPr>
          <w:rFonts w:ascii="仿宋_GB2312" w:eastAsia="仿宋_GB2312" w:hAnsi="仿宋_GB2312" w:cs="仿宋_GB2312" w:hint="eastAsia"/>
          <w:sz w:val="32"/>
          <w:szCs w:val="32"/>
        </w:rPr>
        <w:t>了</w:t>
      </w:r>
      <w:r w:rsidRPr="00C07D89">
        <w:rPr>
          <w:rFonts w:ascii="仿宋_GB2312" w:eastAsia="仿宋_GB2312" w:hAnsi="仿宋_GB2312" w:cs="仿宋_GB2312" w:hint="eastAsia"/>
          <w:sz w:val="32"/>
          <w:szCs w:val="32"/>
        </w:rPr>
        <w:t>我校科研成果</w:t>
      </w:r>
      <w:r>
        <w:rPr>
          <w:rFonts w:ascii="仿宋_GB2312" w:eastAsia="仿宋_GB2312" w:hAnsi="仿宋_GB2312" w:cs="仿宋_GB2312" w:hint="eastAsia"/>
          <w:sz w:val="32"/>
          <w:szCs w:val="32"/>
        </w:rPr>
        <w:t>的快速转化</w:t>
      </w:r>
      <w:r w:rsidRPr="00C07D89">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也为</w:t>
      </w:r>
      <w:r w:rsidRPr="00C07D89">
        <w:rPr>
          <w:rFonts w:ascii="仿宋_GB2312" w:eastAsia="仿宋_GB2312" w:hAnsi="仿宋_GB2312" w:cs="仿宋_GB2312" w:hint="eastAsia"/>
          <w:sz w:val="32"/>
          <w:szCs w:val="32"/>
        </w:rPr>
        <w:t>激发科研人员创新创造活力</w:t>
      </w:r>
      <w:r>
        <w:rPr>
          <w:rFonts w:ascii="仿宋_GB2312" w:eastAsia="仿宋_GB2312" w:hAnsi="仿宋_GB2312" w:cs="仿宋_GB2312" w:hint="eastAsia"/>
          <w:sz w:val="32"/>
          <w:szCs w:val="32"/>
        </w:rPr>
        <w:t>营造了良好的生态环境。</w:t>
      </w:r>
    </w:p>
    <w:p w:rsidR="00C00A72" w:rsidRDefault="006C4FDD">
      <w:pPr>
        <w:adjustRightInd w:val="0"/>
        <w:snapToGrid w:val="0"/>
        <w:spacing w:line="360" w:lineRule="auto"/>
        <w:ind w:firstLineChars="200" w:firstLine="643"/>
        <w:rPr>
          <w:rFonts w:ascii="仿宋_GB2312" w:eastAsia="仿宋_GB2312" w:hAnsi="仿宋" w:cs="仿宋"/>
          <w:b/>
          <w:bCs/>
          <w:sz w:val="32"/>
          <w:szCs w:val="32"/>
        </w:rPr>
      </w:pPr>
      <w:r>
        <w:rPr>
          <w:rFonts w:ascii="仿宋_GB2312" w:eastAsia="仿宋_GB2312" w:hAnsi="仿宋" w:cs="仿宋" w:hint="eastAsia"/>
          <w:b/>
          <w:bCs/>
          <w:sz w:val="32"/>
          <w:szCs w:val="32"/>
        </w:rPr>
        <w:lastRenderedPageBreak/>
        <w:t>五、提供优质社会服务，产出高质量支撑决策成果</w:t>
      </w:r>
    </w:p>
    <w:p w:rsidR="00C00A72" w:rsidRPr="00C07D89" w:rsidRDefault="006C4FDD" w:rsidP="00C07D89">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今年，学校研究人员在京津冀协同创新发展、雄安新区建设、乡村振兴建设、大气环境治理等关系河北发展创新的一系列重大课题研究获得突破并得到省市领导高度重视与肯定性批示。马彦丽教授的《以巴氏乳为突破口推动我省奶牛养殖业提档升级》获得省长许勤，副省长时清霜肯定性批示；郑国娟教授的《调整运输设施结构 改善大气环境质量》获河北省人大常委会副主任王刚肯定性批示；解建立教授的《乡村振兴战略背景下推进河北省农村环境公共服务供给及运行维护的政策建议》获副省长时清霜批示；吴国英教授的《我省应开展国家级“非遗”项目传统戏剧类口述史研究工作》获副省长徐建培批示；王沛教授的《河北省农地流转制度中的问题分析及法律完善》获副省长时清霜批示；田学斌教授的《关于高标准建设雄安新区的思考》获原河北省委书记、省推进京津冀协同发展专家咨询委员会组长叶连松，河北省委常委、省政府副省长，雄安新区党工委书记、管委会主任陈刚肯定性批示。（详见附表）</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543"/>
        <w:gridCol w:w="2552"/>
        <w:gridCol w:w="1701"/>
      </w:tblGrid>
      <w:tr w:rsidR="00C00A72" w:rsidTr="00C07D89">
        <w:trPr>
          <w:trHeight w:val="387"/>
        </w:trPr>
        <w:tc>
          <w:tcPr>
            <w:tcW w:w="993" w:type="dxa"/>
            <w:shd w:val="clear" w:color="auto" w:fill="auto"/>
            <w:vAlign w:val="center"/>
          </w:tcPr>
          <w:p w:rsidR="00C00A72" w:rsidRPr="00C07D89" w:rsidRDefault="006C4FDD" w:rsidP="00DB2DEB">
            <w:pPr>
              <w:widowControl/>
              <w:adjustRightInd w:val="0"/>
              <w:snapToGrid w:val="0"/>
              <w:spacing w:line="360" w:lineRule="auto"/>
              <w:jc w:val="center"/>
              <w:rPr>
                <w:rFonts w:ascii="仿宋_GB2312" w:eastAsia="仿宋_GB2312" w:hAnsi="宋体" w:cs="宋体"/>
                <w:b/>
                <w:bCs/>
                <w:color w:val="000000"/>
                <w:kern w:val="0"/>
                <w:sz w:val="20"/>
                <w:szCs w:val="20"/>
              </w:rPr>
            </w:pPr>
            <w:r w:rsidRPr="00C07D89">
              <w:rPr>
                <w:rFonts w:ascii="仿宋_GB2312" w:eastAsia="仿宋_GB2312" w:hAnsi="宋体" w:cs="宋体" w:hint="eastAsia"/>
                <w:b/>
                <w:bCs/>
                <w:color w:val="000000"/>
                <w:kern w:val="0"/>
                <w:sz w:val="20"/>
                <w:szCs w:val="20"/>
              </w:rPr>
              <w:t>姓名</w:t>
            </w:r>
          </w:p>
        </w:tc>
        <w:tc>
          <w:tcPr>
            <w:tcW w:w="3543" w:type="dxa"/>
            <w:shd w:val="clear" w:color="auto" w:fill="auto"/>
            <w:vAlign w:val="center"/>
          </w:tcPr>
          <w:p w:rsidR="00C00A72" w:rsidRPr="00C07D89" w:rsidRDefault="006C4FDD" w:rsidP="00DB2DEB">
            <w:pPr>
              <w:widowControl/>
              <w:adjustRightInd w:val="0"/>
              <w:snapToGrid w:val="0"/>
              <w:spacing w:line="360" w:lineRule="auto"/>
              <w:jc w:val="center"/>
              <w:rPr>
                <w:rFonts w:ascii="仿宋_GB2312" w:eastAsia="仿宋_GB2312" w:hAnsi="宋体" w:cs="宋体"/>
                <w:b/>
                <w:bCs/>
                <w:color w:val="000000"/>
                <w:kern w:val="0"/>
                <w:sz w:val="20"/>
                <w:szCs w:val="20"/>
              </w:rPr>
            </w:pPr>
            <w:r w:rsidRPr="00C07D89">
              <w:rPr>
                <w:rFonts w:ascii="仿宋_GB2312" w:eastAsia="仿宋_GB2312" w:hAnsi="宋体" w:cs="宋体" w:hint="eastAsia"/>
                <w:b/>
                <w:bCs/>
                <w:color w:val="000000"/>
                <w:kern w:val="0"/>
                <w:sz w:val="20"/>
                <w:szCs w:val="20"/>
              </w:rPr>
              <w:t>报告内容</w:t>
            </w:r>
          </w:p>
        </w:tc>
        <w:tc>
          <w:tcPr>
            <w:tcW w:w="2552" w:type="dxa"/>
            <w:shd w:val="clear" w:color="auto" w:fill="auto"/>
            <w:vAlign w:val="center"/>
          </w:tcPr>
          <w:p w:rsidR="00C00A72" w:rsidRPr="00C07D89" w:rsidRDefault="006C4FDD" w:rsidP="00DB2DEB">
            <w:pPr>
              <w:widowControl/>
              <w:adjustRightInd w:val="0"/>
              <w:snapToGrid w:val="0"/>
              <w:spacing w:line="360" w:lineRule="auto"/>
              <w:jc w:val="center"/>
              <w:rPr>
                <w:rFonts w:ascii="仿宋_GB2312" w:eastAsia="仿宋_GB2312" w:hAnsi="宋体" w:cs="宋体"/>
                <w:b/>
                <w:bCs/>
                <w:color w:val="000000"/>
                <w:kern w:val="0"/>
                <w:sz w:val="20"/>
                <w:szCs w:val="20"/>
              </w:rPr>
            </w:pPr>
            <w:r w:rsidRPr="00C07D89">
              <w:rPr>
                <w:rFonts w:ascii="仿宋_GB2312" w:eastAsia="仿宋_GB2312" w:hAnsi="宋体" w:cs="宋体" w:hint="eastAsia"/>
                <w:b/>
                <w:bCs/>
                <w:color w:val="000000"/>
                <w:kern w:val="0"/>
                <w:sz w:val="20"/>
                <w:szCs w:val="20"/>
              </w:rPr>
              <w:t>领导批示</w:t>
            </w:r>
          </w:p>
        </w:tc>
        <w:tc>
          <w:tcPr>
            <w:tcW w:w="1701" w:type="dxa"/>
            <w:shd w:val="clear" w:color="auto" w:fill="auto"/>
            <w:vAlign w:val="center"/>
          </w:tcPr>
          <w:p w:rsidR="00C00A72" w:rsidRPr="00C07D89" w:rsidRDefault="006C4FDD" w:rsidP="00DB2DEB">
            <w:pPr>
              <w:widowControl/>
              <w:adjustRightInd w:val="0"/>
              <w:snapToGrid w:val="0"/>
              <w:spacing w:line="360" w:lineRule="auto"/>
              <w:jc w:val="center"/>
              <w:rPr>
                <w:rFonts w:ascii="仿宋_GB2312" w:eastAsia="仿宋_GB2312" w:hAnsi="宋体" w:cs="宋体"/>
                <w:b/>
                <w:bCs/>
                <w:color w:val="000000"/>
                <w:kern w:val="0"/>
                <w:sz w:val="20"/>
                <w:szCs w:val="20"/>
              </w:rPr>
            </w:pPr>
            <w:r w:rsidRPr="00C07D89">
              <w:rPr>
                <w:rFonts w:ascii="仿宋_GB2312" w:eastAsia="仿宋_GB2312" w:hAnsi="宋体" w:cs="宋体" w:hint="eastAsia"/>
                <w:b/>
                <w:bCs/>
                <w:color w:val="000000"/>
                <w:kern w:val="0"/>
                <w:sz w:val="20"/>
                <w:szCs w:val="20"/>
              </w:rPr>
              <w:t>批示时间</w:t>
            </w:r>
          </w:p>
        </w:tc>
      </w:tr>
      <w:tr w:rsidR="00C00A72" w:rsidTr="00C07D89">
        <w:trPr>
          <w:trHeight w:val="548"/>
        </w:trPr>
        <w:tc>
          <w:tcPr>
            <w:tcW w:w="993" w:type="dxa"/>
            <w:shd w:val="clear" w:color="auto" w:fill="auto"/>
            <w:vAlign w:val="center"/>
          </w:tcPr>
          <w:p w:rsidR="00C00A72" w:rsidRPr="00C07D89" w:rsidRDefault="006C4FDD">
            <w:pPr>
              <w:adjustRightInd w:val="0"/>
              <w:snapToGrid w:val="0"/>
              <w:spacing w:line="360" w:lineRule="auto"/>
              <w:jc w:val="center"/>
              <w:rPr>
                <w:rFonts w:asciiTheme="minorEastAsia" w:eastAsiaTheme="minorEastAsia" w:hAnsiTheme="minorEastAsia" w:cs="宋体"/>
                <w:b/>
                <w:bCs/>
                <w:color w:val="000000"/>
                <w:kern w:val="0"/>
                <w:sz w:val="20"/>
                <w:szCs w:val="20"/>
              </w:rPr>
            </w:pPr>
            <w:r w:rsidRPr="00C07D89">
              <w:rPr>
                <w:rFonts w:asciiTheme="minorEastAsia" w:eastAsiaTheme="minorEastAsia" w:hAnsiTheme="minorEastAsia" w:hint="eastAsia"/>
                <w:color w:val="000000"/>
                <w:sz w:val="20"/>
                <w:szCs w:val="20"/>
              </w:rPr>
              <w:t>郑国娟</w:t>
            </w:r>
          </w:p>
        </w:tc>
        <w:tc>
          <w:tcPr>
            <w:tcW w:w="3543" w:type="dxa"/>
            <w:shd w:val="clear" w:color="auto" w:fill="auto"/>
            <w:vAlign w:val="center"/>
          </w:tcPr>
          <w:p w:rsidR="00C00A72" w:rsidRPr="00C07D89" w:rsidRDefault="006C4FDD">
            <w:pPr>
              <w:widowControl/>
              <w:adjustRightInd w:val="0"/>
              <w:snapToGrid w:val="0"/>
              <w:spacing w:line="360" w:lineRule="auto"/>
              <w:rPr>
                <w:rFonts w:asciiTheme="minorEastAsia" w:eastAsiaTheme="minorEastAsia" w:hAnsiTheme="minorEastAsia" w:cs="宋体"/>
                <w:b/>
                <w:bCs/>
                <w:color w:val="000000"/>
                <w:spacing w:val="-6"/>
                <w:kern w:val="0"/>
                <w:sz w:val="20"/>
                <w:szCs w:val="20"/>
              </w:rPr>
            </w:pPr>
            <w:r w:rsidRPr="00C07D89">
              <w:rPr>
                <w:rFonts w:asciiTheme="minorEastAsia" w:eastAsiaTheme="minorEastAsia" w:hAnsiTheme="minorEastAsia" w:hint="eastAsia"/>
                <w:color w:val="000000"/>
                <w:spacing w:val="-6"/>
                <w:sz w:val="20"/>
                <w:szCs w:val="20"/>
              </w:rPr>
              <w:t>调整运输设施结构 改善大气环境质量</w:t>
            </w:r>
          </w:p>
        </w:tc>
        <w:tc>
          <w:tcPr>
            <w:tcW w:w="2552" w:type="dxa"/>
            <w:shd w:val="clear" w:color="auto" w:fill="auto"/>
            <w:vAlign w:val="center"/>
          </w:tcPr>
          <w:p w:rsidR="00C00A72" w:rsidRPr="00C07D89" w:rsidRDefault="006C4FDD">
            <w:pPr>
              <w:widowControl/>
              <w:adjustRightInd w:val="0"/>
              <w:snapToGrid w:val="0"/>
              <w:spacing w:line="360" w:lineRule="auto"/>
              <w:rPr>
                <w:rFonts w:asciiTheme="minorEastAsia" w:eastAsiaTheme="minorEastAsia" w:hAnsiTheme="minorEastAsia" w:cs="宋体"/>
                <w:b/>
                <w:bCs/>
                <w:color w:val="000000"/>
                <w:kern w:val="0"/>
                <w:sz w:val="20"/>
                <w:szCs w:val="20"/>
              </w:rPr>
            </w:pPr>
            <w:r w:rsidRPr="00C07D89">
              <w:rPr>
                <w:rFonts w:asciiTheme="minorEastAsia" w:eastAsiaTheme="minorEastAsia" w:hAnsiTheme="minorEastAsia" w:hint="eastAsia"/>
                <w:color w:val="000000"/>
                <w:sz w:val="20"/>
                <w:szCs w:val="20"/>
              </w:rPr>
              <w:t>省人大常委会副主任王刚</w:t>
            </w:r>
          </w:p>
        </w:tc>
        <w:tc>
          <w:tcPr>
            <w:tcW w:w="1701" w:type="dxa"/>
            <w:shd w:val="clear" w:color="auto" w:fill="auto"/>
            <w:vAlign w:val="center"/>
          </w:tcPr>
          <w:p w:rsidR="00C00A72" w:rsidRPr="00C07D89" w:rsidRDefault="006C4FDD">
            <w:pPr>
              <w:widowControl/>
              <w:adjustRightInd w:val="0"/>
              <w:snapToGrid w:val="0"/>
              <w:spacing w:line="360" w:lineRule="auto"/>
              <w:rPr>
                <w:rFonts w:asciiTheme="minorEastAsia" w:eastAsiaTheme="minorEastAsia" w:hAnsiTheme="minorEastAsia" w:cs="宋体"/>
                <w:b/>
                <w:bCs/>
                <w:color w:val="000000"/>
                <w:kern w:val="0"/>
                <w:sz w:val="20"/>
                <w:szCs w:val="20"/>
              </w:rPr>
            </w:pPr>
            <w:r w:rsidRPr="00C07D89">
              <w:rPr>
                <w:rFonts w:asciiTheme="minorEastAsia" w:eastAsiaTheme="minorEastAsia" w:hAnsiTheme="minorEastAsia" w:cs="宋体" w:hint="eastAsia"/>
                <w:color w:val="000000"/>
                <w:sz w:val="20"/>
                <w:szCs w:val="20"/>
              </w:rPr>
              <w:t>2018年4月8日</w:t>
            </w:r>
          </w:p>
        </w:tc>
      </w:tr>
      <w:tr w:rsidR="00C00A72" w:rsidTr="00C07D89">
        <w:trPr>
          <w:trHeight w:val="555"/>
        </w:trPr>
        <w:tc>
          <w:tcPr>
            <w:tcW w:w="993" w:type="dxa"/>
            <w:vAlign w:val="center"/>
          </w:tcPr>
          <w:p w:rsidR="00C00A72" w:rsidRPr="00C07D89" w:rsidRDefault="006C4FDD">
            <w:pPr>
              <w:adjustRightInd w:val="0"/>
              <w:snapToGrid w:val="0"/>
              <w:spacing w:line="360" w:lineRule="auto"/>
              <w:jc w:val="center"/>
              <w:rPr>
                <w:rFonts w:asciiTheme="minorEastAsia" w:eastAsiaTheme="minorEastAsia" w:hAnsiTheme="minorEastAsia" w:cs="宋体"/>
                <w:color w:val="000000"/>
                <w:sz w:val="20"/>
                <w:szCs w:val="20"/>
              </w:rPr>
            </w:pPr>
            <w:r w:rsidRPr="00C07D89">
              <w:rPr>
                <w:rFonts w:asciiTheme="minorEastAsia" w:eastAsiaTheme="minorEastAsia" w:hAnsiTheme="minorEastAsia" w:hint="eastAsia"/>
                <w:color w:val="000000"/>
                <w:sz w:val="20"/>
                <w:szCs w:val="20"/>
              </w:rPr>
              <w:t>马彦丽</w:t>
            </w:r>
          </w:p>
        </w:tc>
        <w:tc>
          <w:tcPr>
            <w:tcW w:w="3543" w:type="dxa"/>
            <w:shd w:val="clear" w:color="auto" w:fill="auto"/>
            <w:vAlign w:val="center"/>
          </w:tcPr>
          <w:p w:rsidR="00C00A72" w:rsidRPr="00C07D89" w:rsidRDefault="006C4FDD">
            <w:pPr>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以巴氏乳为突破口推动我省奶牛养殖业提档升级</w:t>
            </w:r>
          </w:p>
        </w:tc>
        <w:tc>
          <w:tcPr>
            <w:tcW w:w="2552" w:type="dxa"/>
            <w:shd w:val="clear" w:color="auto" w:fill="auto"/>
            <w:vAlign w:val="center"/>
          </w:tcPr>
          <w:p w:rsidR="00C00A72" w:rsidRPr="00C07D89" w:rsidRDefault="006C4FDD">
            <w:pPr>
              <w:adjustRightInd w:val="0"/>
              <w:snapToGrid w:val="0"/>
              <w:spacing w:line="360" w:lineRule="auto"/>
              <w:rPr>
                <w:rFonts w:asciiTheme="minorEastAsia" w:eastAsiaTheme="minorEastAsia" w:hAnsiTheme="minorEastAsia" w:cs="宋体"/>
                <w:color w:val="000000"/>
                <w:sz w:val="20"/>
                <w:szCs w:val="20"/>
              </w:rPr>
            </w:pPr>
            <w:r w:rsidRPr="00C07D89">
              <w:rPr>
                <w:rFonts w:asciiTheme="minorEastAsia" w:eastAsiaTheme="minorEastAsia" w:hAnsiTheme="minorEastAsia" w:hint="eastAsia"/>
                <w:color w:val="000000"/>
                <w:sz w:val="20"/>
                <w:szCs w:val="20"/>
              </w:rPr>
              <w:t>省长许勤，副省长时清霜</w:t>
            </w:r>
          </w:p>
        </w:tc>
        <w:tc>
          <w:tcPr>
            <w:tcW w:w="1701" w:type="dxa"/>
            <w:shd w:val="clear" w:color="auto" w:fill="auto"/>
            <w:vAlign w:val="center"/>
          </w:tcPr>
          <w:p w:rsidR="00C00A72" w:rsidRPr="00C07D89" w:rsidRDefault="006C4FDD">
            <w:pPr>
              <w:adjustRightInd w:val="0"/>
              <w:snapToGrid w:val="0"/>
              <w:spacing w:line="360" w:lineRule="auto"/>
              <w:rPr>
                <w:rFonts w:asciiTheme="minorEastAsia" w:eastAsiaTheme="minorEastAsia" w:hAnsiTheme="minorEastAsia" w:cs="宋体"/>
                <w:color w:val="000000"/>
                <w:sz w:val="20"/>
                <w:szCs w:val="20"/>
              </w:rPr>
            </w:pPr>
            <w:r w:rsidRPr="00C07D89">
              <w:rPr>
                <w:rFonts w:asciiTheme="minorEastAsia" w:eastAsiaTheme="minorEastAsia" w:hAnsiTheme="minorEastAsia" w:cs="宋体" w:hint="eastAsia"/>
                <w:color w:val="000000"/>
                <w:sz w:val="20"/>
                <w:szCs w:val="20"/>
              </w:rPr>
              <w:t>2018年5月31日/6月2日</w:t>
            </w:r>
          </w:p>
        </w:tc>
      </w:tr>
      <w:tr w:rsidR="00C00A72" w:rsidTr="00C07D89">
        <w:trPr>
          <w:trHeight w:val="650"/>
        </w:trPr>
        <w:tc>
          <w:tcPr>
            <w:tcW w:w="993" w:type="dxa"/>
            <w:vAlign w:val="center"/>
          </w:tcPr>
          <w:p w:rsidR="00C00A72" w:rsidRPr="00C07D89" w:rsidRDefault="006C4FDD">
            <w:pPr>
              <w:adjustRightInd w:val="0"/>
              <w:snapToGrid w:val="0"/>
              <w:spacing w:line="360" w:lineRule="auto"/>
              <w:jc w:val="center"/>
              <w:rPr>
                <w:rFonts w:asciiTheme="minorEastAsia" w:eastAsiaTheme="minorEastAsia" w:hAnsiTheme="minorEastAsia" w:cs="宋体"/>
                <w:color w:val="000000"/>
                <w:sz w:val="20"/>
                <w:szCs w:val="20"/>
              </w:rPr>
            </w:pPr>
            <w:r w:rsidRPr="00C07D89">
              <w:rPr>
                <w:rFonts w:asciiTheme="minorEastAsia" w:eastAsiaTheme="minorEastAsia" w:hAnsiTheme="minorEastAsia" w:cs="仿宋" w:hint="eastAsia"/>
                <w:sz w:val="20"/>
                <w:szCs w:val="20"/>
              </w:rPr>
              <w:t>解建立</w:t>
            </w:r>
          </w:p>
        </w:tc>
        <w:tc>
          <w:tcPr>
            <w:tcW w:w="3543" w:type="dxa"/>
            <w:shd w:val="clear" w:color="auto" w:fill="auto"/>
            <w:vAlign w:val="center"/>
          </w:tcPr>
          <w:p w:rsidR="00C00A72" w:rsidRPr="00C07D89" w:rsidRDefault="006C4FDD">
            <w:pPr>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乡村振兴战略背景下推进河北省农村环境公共服务供给及运行维护的政策建议</w:t>
            </w:r>
          </w:p>
        </w:tc>
        <w:tc>
          <w:tcPr>
            <w:tcW w:w="2552" w:type="dxa"/>
            <w:shd w:val="clear" w:color="auto" w:fill="auto"/>
            <w:vAlign w:val="center"/>
          </w:tcPr>
          <w:p w:rsidR="00C00A72" w:rsidRPr="00C07D89" w:rsidRDefault="006C4FDD">
            <w:pPr>
              <w:rPr>
                <w:rFonts w:asciiTheme="minorEastAsia" w:eastAsiaTheme="minorEastAsia" w:hAnsiTheme="minorEastAsia" w:cs="宋体"/>
                <w:color w:val="000000"/>
                <w:sz w:val="20"/>
                <w:szCs w:val="20"/>
              </w:rPr>
            </w:pPr>
            <w:r w:rsidRPr="00C07D89">
              <w:rPr>
                <w:rFonts w:asciiTheme="minorEastAsia" w:eastAsiaTheme="minorEastAsia" w:hAnsiTheme="minorEastAsia" w:hint="eastAsia"/>
                <w:color w:val="000000"/>
                <w:sz w:val="20"/>
                <w:szCs w:val="20"/>
              </w:rPr>
              <w:t>副省长时清霜</w:t>
            </w:r>
          </w:p>
        </w:tc>
        <w:tc>
          <w:tcPr>
            <w:tcW w:w="1701" w:type="dxa"/>
            <w:shd w:val="clear" w:color="auto" w:fill="auto"/>
            <w:vAlign w:val="center"/>
          </w:tcPr>
          <w:p w:rsidR="00C00A72" w:rsidRPr="00C07D89" w:rsidRDefault="006C4FDD">
            <w:pPr>
              <w:rPr>
                <w:rFonts w:asciiTheme="minorEastAsia" w:eastAsiaTheme="minorEastAsia" w:hAnsiTheme="minorEastAsia" w:cs="宋体"/>
                <w:color w:val="000000"/>
                <w:sz w:val="20"/>
                <w:szCs w:val="20"/>
              </w:rPr>
            </w:pPr>
            <w:r w:rsidRPr="00C07D89">
              <w:rPr>
                <w:rFonts w:asciiTheme="minorEastAsia" w:eastAsiaTheme="minorEastAsia" w:hAnsiTheme="minorEastAsia" w:cs="宋体" w:hint="eastAsia"/>
                <w:color w:val="000000"/>
                <w:sz w:val="20"/>
                <w:szCs w:val="20"/>
              </w:rPr>
              <w:t>2018年6月11日</w:t>
            </w:r>
          </w:p>
        </w:tc>
      </w:tr>
      <w:tr w:rsidR="00C00A72" w:rsidTr="00C07D89">
        <w:trPr>
          <w:trHeight w:val="910"/>
        </w:trPr>
        <w:tc>
          <w:tcPr>
            <w:tcW w:w="993" w:type="dxa"/>
            <w:vAlign w:val="center"/>
          </w:tcPr>
          <w:p w:rsidR="00C00A72" w:rsidRPr="00C07D89" w:rsidRDefault="006C4FDD">
            <w:pPr>
              <w:adjustRightInd w:val="0"/>
              <w:snapToGrid w:val="0"/>
              <w:spacing w:line="360" w:lineRule="auto"/>
              <w:jc w:val="center"/>
              <w:rPr>
                <w:rFonts w:asciiTheme="minorEastAsia" w:eastAsiaTheme="minorEastAsia" w:hAnsiTheme="minorEastAsia" w:cs="仿宋"/>
                <w:sz w:val="20"/>
                <w:szCs w:val="20"/>
              </w:rPr>
            </w:pPr>
            <w:r w:rsidRPr="00C07D89">
              <w:rPr>
                <w:rFonts w:asciiTheme="minorEastAsia" w:eastAsiaTheme="minorEastAsia" w:hAnsiTheme="minorEastAsia" w:cs="仿宋" w:hint="eastAsia"/>
                <w:sz w:val="20"/>
                <w:szCs w:val="20"/>
              </w:rPr>
              <w:t>王沛</w:t>
            </w:r>
          </w:p>
        </w:tc>
        <w:tc>
          <w:tcPr>
            <w:tcW w:w="3543" w:type="dxa"/>
            <w:shd w:val="clear" w:color="auto" w:fill="auto"/>
            <w:vAlign w:val="center"/>
          </w:tcPr>
          <w:p w:rsidR="00C00A72" w:rsidRPr="00C07D89" w:rsidRDefault="006C4FDD">
            <w:pPr>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河北省农地流转制度中的问题分析及法律完善</w:t>
            </w:r>
          </w:p>
        </w:tc>
        <w:tc>
          <w:tcPr>
            <w:tcW w:w="2552" w:type="dxa"/>
            <w:shd w:val="clear" w:color="auto" w:fill="auto"/>
            <w:vAlign w:val="center"/>
          </w:tcPr>
          <w:p w:rsidR="00C00A72" w:rsidRPr="00C07D89" w:rsidRDefault="006C4FDD">
            <w:pPr>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副省长时清霜</w:t>
            </w:r>
          </w:p>
        </w:tc>
        <w:tc>
          <w:tcPr>
            <w:tcW w:w="1701" w:type="dxa"/>
            <w:shd w:val="clear" w:color="auto" w:fill="auto"/>
            <w:vAlign w:val="center"/>
          </w:tcPr>
          <w:p w:rsidR="00C00A72" w:rsidRPr="00C07D89" w:rsidRDefault="006C4FDD">
            <w:pPr>
              <w:adjustRightInd w:val="0"/>
              <w:snapToGrid w:val="0"/>
              <w:spacing w:line="360" w:lineRule="auto"/>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2018年7月11日</w:t>
            </w:r>
          </w:p>
        </w:tc>
      </w:tr>
      <w:tr w:rsidR="00C00A72" w:rsidTr="00C07D89">
        <w:trPr>
          <w:trHeight w:val="784"/>
        </w:trPr>
        <w:tc>
          <w:tcPr>
            <w:tcW w:w="993" w:type="dxa"/>
            <w:vAlign w:val="center"/>
          </w:tcPr>
          <w:p w:rsidR="00C00A72" w:rsidRPr="00C07D89" w:rsidRDefault="006C4FDD">
            <w:pPr>
              <w:adjustRightInd w:val="0"/>
              <w:snapToGrid w:val="0"/>
              <w:spacing w:line="360" w:lineRule="auto"/>
              <w:jc w:val="center"/>
              <w:rPr>
                <w:rFonts w:asciiTheme="minorEastAsia" w:eastAsiaTheme="minorEastAsia" w:hAnsiTheme="minorEastAsia" w:cs="宋体"/>
                <w:color w:val="000000"/>
                <w:sz w:val="20"/>
                <w:szCs w:val="20"/>
              </w:rPr>
            </w:pPr>
            <w:r w:rsidRPr="00C07D89">
              <w:rPr>
                <w:rFonts w:asciiTheme="minorEastAsia" w:eastAsiaTheme="minorEastAsia" w:hAnsiTheme="minorEastAsia" w:cs="宋体" w:hint="eastAsia"/>
                <w:color w:val="000000"/>
                <w:sz w:val="20"/>
                <w:szCs w:val="20"/>
              </w:rPr>
              <w:lastRenderedPageBreak/>
              <w:t>吴国英</w:t>
            </w:r>
          </w:p>
        </w:tc>
        <w:tc>
          <w:tcPr>
            <w:tcW w:w="3543" w:type="dxa"/>
            <w:shd w:val="clear" w:color="auto" w:fill="auto"/>
            <w:vAlign w:val="center"/>
          </w:tcPr>
          <w:p w:rsidR="00C00A72" w:rsidRPr="00C07D89" w:rsidRDefault="006C4FDD">
            <w:pPr>
              <w:rPr>
                <w:rFonts w:asciiTheme="minorEastAsia" w:eastAsiaTheme="minorEastAsia" w:hAnsiTheme="minorEastAsia" w:cs="宋体"/>
                <w:color w:val="000000"/>
                <w:sz w:val="20"/>
                <w:szCs w:val="20"/>
              </w:rPr>
            </w:pPr>
            <w:r w:rsidRPr="00C07D89">
              <w:rPr>
                <w:rFonts w:asciiTheme="minorEastAsia" w:eastAsiaTheme="minorEastAsia" w:hAnsiTheme="minorEastAsia" w:hint="eastAsia"/>
                <w:color w:val="000000"/>
                <w:sz w:val="20"/>
                <w:szCs w:val="20"/>
              </w:rPr>
              <w:t>我省应开展国家级“非遗”项目传统戏剧类口述史研究工作</w:t>
            </w:r>
          </w:p>
        </w:tc>
        <w:tc>
          <w:tcPr>
            <w:tcW w:w="2552" w:type="dxa"/>
            <w:shd w:val="clear" w:color="auto" w:fill="auto"/>
            <w:vAlign w:val="center"/>
          </w:tcPr>
          <w:p w:rsidR="00C00A72" w:rsidRPr="00C07D89" w:rsidRDefault="006C4FDD">
            <w:pPr>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副省长徐建培</w:t>
            </w:r>
          </w:p>
        </w:tc>
        <w:tc>
          <w:tcPr>
            <w:tcW w:w="1701" w:type="dxa"/>
            <w:shd w:val="clear" w:color="auto" w:fill="auto"/>
            <w:vAlign w:val="center"/>
          </w:tcPr>
          <w:p w:rsidR="00C00A72" w:rsidRPr="00C07D89" w:rsidRDefault="006C4FDD">
            <w:pPr>
              <w:rPr>
                <w:rFonts w:asciiTheme="minorEastAsia" w:eastAsiaTheme="minorEastAsia" w:hAnsiTheme="minorEastAsia" w:cs="宋体"/>
                <w:color w:val="000000"/>
                <w:sz w:val="20"/>
                <w:szCs w:val="20"/>
              </w:rPr>
            </w:pPr>
            <w:r w:rsidRPr="00C07D89">
              <w:rPr>
                <w:rFonts w:asciiTheme="minorEastAsia" w:eastAsiaTheme="minorEastAsia" w:hAnsiTheme="minorEastAsia" w:cs="宋体" w:hint="eastAsia"/>
                <w:color w:val="000000"/>
                <w:sz w:val="20"/>
                <w:szCs w:val="20"/>
              </w:rPr>
              <w:t>2018年7月28日</w:t>
            </w:r>
          </w:p>
        </w:tc>
      </w:tr>
      <w:tr w:rsidR="00C00A72" w:rsidTr="00C07D89">
        <w:trPr>
          <w:trHeight w:val="1617"/>
        </w:trPr>
        <w:tc>
          <w:tcPr>
            <w:tcW w:w="993" w:type="dxa"/>
            <w:vAlign w:val="center"/>
          </w:tcPr>
          <w:p w:rsidR="00C00A72" w:rsidRPr="00C07D89" w:rsidRDefault="006C4FDD">
            <w:pPr>
              <w:adjustRightInd w:val="0"/>
              <w:snapToGrid w:val="0"/>
              <w:spacing w:line="360" w:lineRule="auto"/>
              <w:jc w:val="center"/>
              <w:rPr>
                <w:rFonts w:asciiTheme="minorEastAsia" w:eastAsiaTheme="minorEastAsia" w:hAnsiTheme="minorEastAsia" w:cs="仿宋"/>
                <w:sz w:val="20"/>
                <w:szCs w:val="20"/>
              </w:rPr>
            </w:pPr>
            <w:r w:rsidRPr="00C07D89">
              <w:rPr>
                <w:rFonts w:asciiTheme="minorEastAsia" w:eastAsiaTheme="minorEastAsia" w:hAnsiTheme="minorEastAsia" w:cs="仿宋" w:hint="eastAsia"/>
                <w:sz w:val="20"/>
                <w:szCs w:val="20"/>
              </w:rPr>
              <w:t>田学斌</w:t>
            </w:r>
          </w:p>
        </w:tc>
        <w:tc>
          <w:tcPr>
            <w:tcW w:w="3543" w:type="dxa"/>
            <w:shd w:val="clear" w:color="auto" w:fill="auto"/>
            <w:vAlign w:val="center"/>
          </w:tcPr>
          <w:p w:rsidR="00C00A72" w:rsidRPr="00C07D89" w:rsidRDefault="006C4FDD">
            <w:pPr>
              <w:widowControl/>
              <w:jc w:val="left"/>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关于高标准建设雄安新区的思考</w:t>
            </w:r>
          </w:p>
        </w:tc>
        <w:tc>
          <w:tcPr>
            <w:tcW w:w="2552" w:type="dxa"/>
            <w:shd w:val="clear" w:color="auto" w:fill="auto"/>
            <w:vAlign w:val="center"/>
          </w:tcPr>
          <w:p w:rsidR="00C00A72" w:rsidRPr="00C07D89" w:rsidRDefault="006C4FDD">
            <w:pPr>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原河北省委书记、省推进京津冀协同发展专家咨询委员会组长叶连松，河北省委常委、省政府副省长，雄安新区党工委书记、管委会主任陈刚</w:t>
            </w:r>
          </w:p>
        </w:tc>
        <w:tc>
          <w:tcPr>
            <w:tcW w:w="1701" w:type="dxa"/>
            <w:shd w:val="clear" w:color="auto" w:fill="auto"/>
            <w:vAlign w:val="center"/>
          </w:tcPr>
          <w:p w:rsidR="00C00A72" w:rsidRPr="00C07D89" w:rsidRDefault="006C4FDD">
            <w:pPr>
              <w:adjustRightInd w:val="0"/>
              <w:snapToGrid w:val="0"/>
              <w:spacing w:line="360" w:lineRule="auto"/>
              <w:rPr>
                <w:rFonts w:asciiTheme="minorEastAsia" w:eastAsiaTheme="minorEastAsia" w:hAnsiTheme="minorEastAsia"/>
                <w:color w:val="000000"/>
                <w:sz w:val="20"/>
                <w:szCs w:val="20"/>
              </w:rPr>
            </w:pPr>
            <w:r w:rsidRPr="00C07D89">
              <w:rPr>
                <w:rFonts w:asciiTheme="minorEastAsia" w:eastAsiaTheme="minorEastAsia" w:hAnsiTheme="minorEastAsia" w:hint="eastAsia"/>
                <w:color w:val="000000"/>
                <w:sz w:val="20"/>
                <w:szCs w:val="20"/>
              </w:rPr>
              <w:t>2018年9月12日/9月18日</w:t>
            </w:r>
          </w:p>
        </w:tc>
      </w:tr>
    </w:tbl>
    <w:p w:rsidR="00C07D89" w:rsidRPr="00C07D89" w:rsidRDefault="00C07D89" w:rsidP="00C07D89">
      <w:pPr>
        <w:adjustRightInd w:val="0"/>
        <w:snapToGrid w:val="0"/>
        <w:spacing w:line="360" w:lineRule="auto"/>
        <w:ind w:firstLineChars="200" w:firstLine="320"/>
        <w:rPr>
          <w:rFonts w:ascii="仿宋_GB2312" w:eastAsia="仿宋_GB2312" w:hAnsi="仿宋" w:cs="仿宋"/>
          <w:color w:val="000000"/>
          <w:sz w:val="16"/>
          <w:szCs w:val="16"/>
        </w:rPr>
      </w:pPr>
    </w:p>
    <w:p w:rsidR="00C00A72" w:rsidRDefault="006C4FDD" w:rsidP="00C07D89">
      <w:pPr>
        <w:adjustRightInd w:val="0"/>
        <w:snapToGrid w:val="0"/>
        <w:spacing w:line="360" w:lineRule="auto"/>
        <w:ind w:firstLineChars="200" w:firstLine="643"/>
        <w:rPr>
          <w:rFonts w:ascii="仿宋_GB2312" w:eastAsia="仿宋_GB2312" w:hAnsi="仿宋" w:cs="仿宋"/>
          <w:b/>
          <w:bCs/>
          <w:sz w:val="32"/>
          <w:szCs w:val="32"/>
        </w:rPr>
      </w:pPr>
      <w:r>
        <w:rPr>
          <w:rFonts w:ascii="仿宋_GB2312" w:eastAsia="仿宋_GB2312" w:hAnsi="仿宋" w:cs="仿宋" w:hint="eastAsia"/>
          <w:b/>
          <w:bCs/>
          <w:sz w:val="32"/>
          <w:szCs w:val="32"/>
        </w:rPr>
        <w:t>六、广联国内外资源，开展高层次学术交流</w:t>
      </w:r>
    </w:p>
    <w:p w:rsidR="00C07D89" w:rsidRDefault="006C4FDD" w:rsidP="00C07D89">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2018年，科研处积极推动和开展学校学术交流活动，支持各二级单位组织和举办“上规模、上档次”的地方乃至全国和国际学术会议、学术研讨和讲座，邀请国内学术团体及组织、著名专家来校开展学术活动及学术讲座。一年来，全校共举办290多场国际性、全国性、全省各级学术研讨、学术论坛、学术讲座、学术沙龙活动，内容丰富，形式新颖，学科广泛，取得良好效果。其中，“第三届全国大数据与社会计算学术会议（BDSC2018）”、“2018中国法治实践学派论坛”、“全国高校财政学教学研究会2018年年会”、“中国对外经济贸易学会2018年学术年会”、“全国经济复杂性跨学科研究会学术研讨会”、“第四届中国商业经济学会青年分会年会”、“创新社会治理与国家治理能力现代化学术研讨会”等全国性高端学术研讨会，精品学术讲座和沙龙让师生们受益匪浅。</w:t>
      </w:r>
    </w:p>
    <w:tbl>
      <w:tblPr>
        <w:tblStyle w:val="af"/>
        <w:tblW w:w="8080" w:type="dxa"/>
        <w:jc w:val="center"/>
        <w:tblInd w:w="250" w:type="dxa"/>
        <w:tblLayout w:type="fixed"/>
        <w:tblLook w:val="04A0"/>
      </w:tblPr>
      <w:tblGrid>
        <w:gridCol w:w="1454"/>
        <w:gridCol w:w="1704"/>
        <w:gridCol w:w="1704"/>
        <w:gridCol w:w="1705"/>
        <w:gridCol w:w="1513"/>
      </w:tblGrid>
      <w:tr w:rsidR="00C00A72" w:rsidTr="00AF434A">
        <w:trPr>
          <w:jc w:val="center"/>
        </w:trPr>
        <w:tc>
          <w:tcPr>
            <w:tcW w:w="1454" w:type="dxa"/>
          </w:tcPr>
          <w:p w:rsidR="00C00A72" w:rsidRDefault="00C00A72">
            <w:pPr>
              <w:adjustRightInd w:val="0"/>
              <w:snapToGrid w:val="0"/>
              <w:spacing w:line="360" w:lineRule="auto"/>
              <w:rPr>
                <w:rFonts w:ascii="仿宋_GB2312" w:eastAsia="仿宋_GB2312" w:hAnsi="仿宋" w:cs="仿宋"/>
                <w:b/>
                <w:bCs/>
                <w:sz w:val="32"/>
                <w:szCs w:val="32"/>
              </w:rPr>
            </w:pPr>
          </w:p>
        </w:tc>
        <w:tc>
          <w:tcPr>
            <w:tcW w:w="1704" w:type="dxa"/>
            <w:vAlign w:val="center"/>
          </w:tcPr>
          <w:p w:rsidR="00C00A72" w:rsidRPr="00AF434A" w:rsidRDefault="006C4FDD">
            <w:pPr>
              <w:adjustRightInd w:val="0"/>
              <w:snapToGrid w:val="0"/>
              <w:spacing w:line="360" w:lineRule="auto"/>
              <w:jc w:val="center"/>
              <w:rPr>
                <w:sz w:val="22"/>
                <w:szCs w:val="22"/>
              </w:rPr>
            </w:pPr>
            <w:r w:rsidRPr="00AF434A">
              <w:rPr>
                <w:rFonts w:hint="eastAsia"/>
                <w:sz w:val="22"/>
                <w:szCs w:val="22"/>
              </w:rPr>
              <w:t>国际学术会议</w:t>
            </w:r>
          </w:p>
        </w:tc>
        <w:tc>
          <w:tcPr>
            <w:tcW w:w="1704" w:type="dxa"/>
            <w:vAlign w:val="center"/>
          </w:tcPr>
          <w:p w:rsidR="00C00A72" w:rsidRPr="00AF434A" w:rsidRDefault="006C4FDD">
            <w:pPr>
              <w:adjustRightInd w:val="0"/>
              <w:snapToGrid w:val="0"/>
              <w:spacing w:line="360" w:lineRule="auto"/>
              <w:jc w:val="center"/>
              <w:rPr>
                <w:sz w:val="22"/>
                <w:szCs w:val="22"/>
              </w:rPr>
            </w:pPr>
            <w:r w:rsidRPr="00AF434A">
              <w:rPr>
                <w:rFonts w:hint="eastAsia"/>
                <w:sz w:val="22"/>
                <w:szCs w:val="22"/>
              </w:rPr>
              <w:t>全国学术会议</w:t>
            </w:r>
          </w:p>
        </w:tc>
        <w:tc>
          <w:tcPr>
            <w:tcW w:w="1705" w:type="dxa"/>
            <w:vAlign w:val="center"/>
          </w:tcPr>
          <w:p w:rsidR="00C00A72" w:rsidRPr="00AF434A" w:rsidRDefault="006C4FDD">
            <w:pPr>
              <w:adjustRightInd w:val="0"/>
              <w:snapToGrid w:val="0"/>
              <w:spacing w:line="360" w:lineRule="auto"/>
              <w:jc w:val="center"/>
              <w:rPr>
                <w:sz w:val="22"/>
                <w:szCs w:val="22"/>
              </w:rPr>
            </w:pPr>
            <w:r w:rsidRPr="00AF434A">
              <w:rPr>
                <w:rFonts w:hint="eastAsia"/>
                <w:sz w:val="22"/>
                <w:szCs w:val="22"/>
              </w:rPr>
              <w:t>省内学术会议</w:t>
            </w:r>
          </w:p>
        </w:tc>
        <w:tc>
          <w:tcPr>
            <w:tcW w:w="1513" w:type="dxa"/>
            <w:vAlign w:val="center"/>
          </w:tcPr>
          <w:p w:rsidR="00C00A72" w:rsidRPr="00AF434A" w:rsidRDefault="006C4FDD">
            <w:pPr>
              <w:adjustRightInd w:val="0"/>
              <w:snapToGrid w:val="0"/>
              <w:spacing w:line="360" w:lineRule="auto"/>
              <w:jc w:val="center"/>
              <w:rPr>
                <w:sz w:val="22"/>
                <w:szCs w:val="22"/>
              </w:rPr>
            </w:pPr>
            <w:r w:rsidRPr="00AF434A">
              <w:rPr>
                <w:rFonts w:hint="eastAsia"/>
                <w:sz w:val="22"/>
                <w:szCs w:val="22"/>
              </w:rPr>
              <w:t>学术讲座</w:t>
            </w:r>
          </w:p>
        </w:tc>
      </w:tr>
      <w:tr w:rsidR="00C00A72" w:rsidTr="00C07D89">
        <w:trPr>
          <w:trHeight w:val="482"/>
          <w:jc w:val="center"/>
        </w:trPr>
        <w:tc>
          <w:tcPr>
            <w:tcW w:w="1454" w:type="dxa"/>
            <w:vAlign w:val="center"/>
          </w:tcPr>
          <w:p w:rsidR="00C00A72" w:rsidRPr="00AF434A" w:rsidRDefault="006C4FDD">
            <w:pPr>
              <w:adjustRightInd w:val="0"/>
              <w:snapToGrid w:val="0"/>
              <w:spacing w:line="360" w:lineRule="auto"/>
              <w:jc w:val="center"/>
              <w:rPr>
                <w:sz w:val="24"/>
              </w:rPr>
            </w:pPr>
            <w:r w:rsidRPr="00AF434A">
              <w:rPr>
                <w:rFonts w:hint="eastAsia"/>
                <w:sz w:val="24"/>
              </w:rPr>
              <w:t>2017</w:t>
            </w:r>
            <w:r w:rsidRPr="00AF434A">
              <w:rPr>
                <w:rFonts w:hint="eastAsia"/>
                <w:sz w:val="24"/>
              </w:rPr>
              <w:t>年</w:t>
            </w:r>
          </w:p>
        </w:tc>
        <w:tc>
          <w:tcPr>
            <w:tcW w:w="1704" w:type="dxa"/>
            <w:vAlign w:val="center"/>
          </w:tcPr>
          <w:p w:rsidR="00C00A72" w:rsidRPr="00AF434A" w:rsidRDefault="006C4FDD" w:rsidP="00AF434A">
            <w:pPr>
              <w:adjustRightInd w:val="0"/>
              <w:snapToGrid w:val="0"/>
              <w:spacing w:line="360" w:lineRule="auto"/>
              <w:jc w:val="center"/>
              <w:rPr>
                <w:sz w:val="24"/>
              </w:rPr>
            </w:pPr>
            <w:r w:rsidRPr="00AF434A">
              <w:rPr>
                <w:rFonts w:hint="eastAsia"/>
                <w:sz w:val="24"/>
              </w:rPr>
              <w:t>1</w:t>
            </w:r>
          </w:p>
        </w:tc>
        <w:tc>
          <w:tcPr>
            <w:tcW w:w="1704" w:type="dxa"/>
            <w:vAlign w:val="center"/>
          </w:tcPr>
          <w:p w:rsidR="00C00A72" w:rsidRPr="00AF434A" w:rsidRDefault="006C4FDD" w:rsidP="00AF434A">
            <w:pPr>
              <w:adjustRightInd w:val="0"/>
              <w:snapToGrid w:val="0"/>
              <w:spacing w:line="360" w:lineRule="auto"/>
              <w:ind w:firstLineChars="250" w:firstLine="600"/>
              <w:rPr>
                <w:sz w:val="24"/>
              </w:rPr>
            </w:pPr>
            <w:r w:rsidRPr="00AF434A">
              <w:rPr>
                <w:rFonts w:hint="eastAsia"/>
                <w:sz w:val="24"/>
              </w:rPr>
              <w:t>8</w:t>
            </w:r>
          </w:p>
        </w:tc>
        <w:tc>
          <w:tcPr>
            <w:tcW w:w="1705" w:type="dxa"/>
            <w:vAlign w:val="center"/>
          </w:tcPr>
          <w:p w:rsidR="00C00A72" w:rsidRPr="00AF434A" w:rsidRDefault="006C4FDD" w:rsidP="00AF434A">
            <w:pPr>
              <w:adjustRightInd w:val="0"/>
              <w:snapToGrid w:val="0"/>
              <w:spacing w:line="360" w:lineRule="auto"/>
              <w:ind w:firstLineChars="200" w:firstLine="480"/>
              <w:rPr>
                <w:sz w:val="24"/>
              </w:rPr>
            </w:pPr>
            <w:r w:rsidRPr="00AF434A">
              <w:rPr>
                <w:rFonts w:hint="eastAsia"/>
                <w:sz w:val="24"/>
              </w:rPr>
              <w:t xml:space="preserve">  5</w:t>
            </w:r>
          </w:p>
        </w:tc>
        <w:tc>
          <w:tcPr>
            <w:tcW w:w="1513" w:type="dxa"/>
            <w:vAlign w:val="center"/>
          </w:tcPr>
          <w:p w:rsidR="00C00A72" w:rsidRPr="00AF434A" w:rsidRDefault="006C4FDD">
            <w:pPr>
              <w:adjustRightInd w:val="0"/>
              <w:snapToGrid w:val="0"/>
              <w:spacing w:line="360" w:lineRule="auto"/>
              <w:jc w:val="center"/>
              <w:rPr>
                <w:sz w:val="24"/>
              </w:rPr>
            </w:pPr>
            <w:r w:rsidRPr="00AF434A">
              <w:rPr>
                <w:rFonts w:hint="eastAsia"/>
                <w:sz w:val="24"/>
              </w:rPr>
              <w:t>230</w:t>
            </w:r>
            <w:r w:rsidRPr="00AF434A">
              <w:rPr>
                <w:rFonts w:hint="eastAsia"/>
                <w:sz w:val="24"/>
              </w:rPr>
              <w:t>场</w:t>
            </w:r>
          </w:p>
        </w:tc>
      </w:tr>
      <w:tr w:rsidR="00C00A72" w:rsidTr="00C07D89">
        <w:trPr>
          <w:trHeight w:val="276"/>
          <w:jc w:val="center"/>
        </w:trPr>
        <w:tc>
          <w:tcPr>
            <w:tcW w:w="1454" w:type="dxa"/>
            <w:vAlign w:val="center"/>
          </w:tcPr>
          <w:p w:rsidR="00C00A72" w:rsidRPr="00AF434A" w:rsidRDefault="006C4FDD">
            <w:pPr>
              <w:adjustRightInd w:val="0"/>
              <w:snapToGrid w:val="0"/>
              <w:spacing w:line="360" w:lineRule="auto"/>
              <w:jc w:val="center"/>
              <w:rPr>
                <w:sz w:val="24"/>
              </w:rPr>
            </w:pPr>
            <w:r w:rsidRPr="00AF434A">
              <w:rPr>
                <w:rFonts w:hint="eastAsia"/>
                <w:sz w:val="24"/>
              </w:rPr>
              <w:t>2018</w:t>
            </w:r>
            <w:r w:rsidRPr="00AF434A">
              <w:rPr>
                <w:rFonts w:hint="eastAsia"/>
                <w:sz w:val="24"/>
              </w:rPr>
              <w:t>年</w:t>
            </w:r>
          </w:p>
        </w:tc>
        <w:tc>
          <w:tcPr>
            <w:tcW w:w="1704" w:type="dxa"/>
            <w:vAlign w:val="center"/>
          </w:tcPr>
          <w:p w:rsidR="00C00A72" w:rsidRPr="00AF434A" w:rsidRDefault="006C4FDD" w:rsidP="00AF434A">
            <w:pPr>
              <w:adjustRightInd w:val="0"/>
              <w:snapToGrid w:val="0"/>
              <w:spacing w:line="360" w:lineRule="auto"/>
              <w:ind w:firstLineChars="200" w:firstLine="480"/>
              <w:rPr>
                <w:sz w:val="24"/>
              </w:rPr>
            </w:pPr>
            <w:r w:rsidRPr="00AF434A">
              <w:rPr>
                <w:rFonts w:hint="eastAsia"/>
                <w:sz w:val="24"/>
              </w:rPr>
              <w:t xml:space="preserve">  1</w:t>
            </w:r>
          </w:p>
        </w:tc>
        <w:tc>
          <w:tcPr>
            <w:tcW w:w="1704" w:type="dxa"/>
            <w:vAlign w:val="center"/>
          </w:tcPr>
          <w:p w:rsidR="00C00A72" w:rsidRPr="00AF434A" w:rsidRDefault="006C4FDD" w:rsidP="00AF434A">
            <w:pPr>
              <w:adjustRightInd w:val="0"/>
              <w:snapToGrid w:val="0"/>
              <w:spacing w:line="360" w:lineRule="auto"/>
              <w:ind w:firstLineChars="250" w:firstLine="600"/>
              <w:rPr>
                <w:sz w:val="24"/>
              </w:rPr>
            </w:pPr>
            <w:r w:rsidRPr="00AF434A">
              <w:rPr>
                <w:sz w:val="24"/>
              </w:rPr>
              <w:t>24</w:t>
            </w:r>
          </w:p>
        </w:tc>
        <w:tc>
          <w:tcPr>
            <w:tcW w:w="1705" w:type="dxa"/>
            <w:vAlign w:val="center"/>
          </w:tcPr>
          <w:p w:rsidR="00C00A72" w:rsidRPr="00AF434A" w:rsidRDefault="006C4FDD" w:rsidP="00AF434A">
            <w:pPr>
              <w:adjustRightInd w:val="0"/>
              <w:snapToGrid w:val="0"/>
              <w:spacing w:line="360" w:lineRule="auto"/>
              <w:ind w:firstLineChars="200" w:firstLine="480"/>
              <w:rPr>
                <w:sz w:val="24"/>
              </w:rPr>
            </w:pPr>
            <w:r w:rsidRPr="00AF434A">
              <w:rPr>
                <w:rFonts w:hint="eastAsia"/>
                <w:sz w:val="24"/>
              </w:rPr>
              <w:t xml:space="preserve">  </w:t>
            </w:r>
            <w:r w:rsidRPr="00AF434A">
              <w:rPr>
                <w:sz w:val="24"/>
              </w:rPr>
              <w:t>4</w:t>
            </w:r>
          </w:p>
        </w:tc>
        <w:tc>
          <w:tcPr>
            <w:tcW w:w="1513" w:type="dxa"/>
            <w:vAlign w:val="center"/>
          </w:tcPr>
          <w:p w:rsidR="00C00A72" w:rsidRPr="00AF434A" w:rsidRDefault="006C4FDD">
            <w:pPr>
              <w:adjustRightInd w:val="0"/>
              <w:snapToGrid w:val="0"/>
              <w:spacing w:line="360" w:lineRule="auto"/>
              <w:jc w:val="center"/>
              <w:rPr>
                <w:sz w:val="24"/>
              </w:rPr>
            </w:pPr>
            <w:r w:rsidRPr="00AF434A">
              <w:rPr>
                <w:sz w:val="24"/>
              </w:rPr>
              <w:t>291</w:t>
            </w:r>
            <w:r w:rsidRPr="00AF434A">
              <w:rPr>
                <w:rFonts w:hint="eastAsia"/>
                <w:sz w:val="24"/>
              </w:rPr>
              <w:t>场</w:t>
            </w:r>
          </w:p>
        </w:tc>
      </w:tr>
    </w:tbl>
    <w:p w:rsidR="00C00A72" w:rsidRDefault="00C00A72">
      <w:pPr>
        <w:adjustRightInd w:val="0"/>
        <w:snapToGrid w:val="0"/>
        <w:spacing w:line="360" w:lineRule="auto"/>
        <w:rPr>
          <w:rFonts w:ascii="仿宋_GB2312" w:eastAsia="仿宋_GB2312" w:hAnsi="仿宋" w:cs="仿宋"/>
          <w:b/>
          <w:bCs/>
          <w:sz w:val="18"/>
          <w:szCs w:val="18"/>
        </w:rPr>
      </w:pPr>
    </w:p>
    <w:p w:rsidR="00C07D89" w:rsidRPr="00C07D89" w:rsidRDefault="00C07D89">
      <w:pPr>
        <w:adjustRightInd w:val="0"/>
        <w:snapToGrid w:val="0"/>
        <w:spacing w:line="360" w:lineRule="auto"/>
        <w:rPr>
          <w:rFonts w:ascii="仿宋_GB2312" w:eastAsia="仿宋_GB2312" w:hAnsi="仿宋" w:cs="仿宋"/>
          <w:b/>
          <w:bCs/>
          <w:sz w:val="18"/>
          <w:szCs w:val="18"/>
        </w:rPr>
      </w:pPr>
    </w:p>
    <w:p w:rsidR="00C00A72" w:rsidRDefault="006C4FDD">
      <w:pPr>
        <w:adjustRightInd w:val="0"/>
        <w:snapToGrid w:val="0"/>
        <w:spacing w:line="360" w:lineRule="auto"/>
        <w:ind w:firstLineChars="200" w:firstLine="643"/>
        <w:rPr>
          <w:rFonts w:ascii="仿宋_GB2312" w:eastAsia="仿宋_GB2312" w:hAnsi="仿宋" w:cs="仿宋"/>
          <w:b/>
          <w:bCs/>
          <w:sz w:val="32"/>
          <w:szCs w:val="32"/>
        </w:rPr>
      </w:pPr>
      <w:r>
        <w:rPr>
          <w:rFonts w:ascii="仿宋_GB2312" w:eastAsia="仿宋_GB2312" w:hAnsi="仿宋" w:cs="仿宋" w:hint="eastAsia"/>
          <w:b/>
          <w:bCs/>
          <w:sz w:val="32"/>
          <w:szCs w:val="32"/>
        </w:rPr>
        <w:lastRenderedPageBreak/>
        <w:t>七、树立“大科研”理念，构建良好的科研生态环境</w:t>
      </w:r>
    </w:p>
    <w:p w:rsidR="00C00A72" w:rsidRDefault="006C4FDD">
      <w:pPr>
        <w:adjustRightInd w:val="0"/>
        <w:snapToGrid w:val="0"/>
        <w:spacing w:line="360" w:lineRule="auto"/>
        <w:ind w:firstLineChars="200" w:firstLine="640"/>
        <w:rPr>
          <w:rFonts w:ascii="仿宋_GB2312" w:eastAsia="仿宋_GB2312" w:hAnsi="仿宋" w:cs="仿宋"/>
          <w:sz w:val="32"/>
          <w:szCs w:val="32"/>
        </w:rPr>
      </w:pPr>
      <w:r>
        <w:rPr>
          <w:rFonts w:ascii="仿宋_GB2312" w:eastAsia="仿宋_GB2312" w:hAnsi="华文仿宋" w:cs="华文仿宋" w:hint="eastAsia"/>
          <w:sz w:val="32"/>
          <w:szCs w:val="32"/>
        </w:rPr>
        <w:t>科研处紧紧围绕学校建设全国地方同类院校一流的教学研究型财经大学和“双一流”建设的战略目标。一年来，</w:t>
      </w:r>
      <w:r w:rsidR="00A81849">
        <w:rPr>
          <w:rFonts w:ascii="仿宋_GB2312" w:eastAsia="仿宋_GB2312" w:hAnsi="华文仿宋" w:cs="华文仿宋" w:hint="eastAsia"/>
          <w:sz w:val="32"/>
          <w:szCs w:val="32"/>
        </w:rPr>
        <w:t>科研处</w:t>
      </w:r>
      <w:r>
        <w:rPr>
          <w:rFonts w:ascii="仿宋_GB2312" w:eastAsia="仿宋_GB2312" w:hAnsi="华文仿宋" w:cs="华文仿宋" w:hint="eastAsia"/>
          <w:sz w:val="32"/>
          <w:szCs w:val="32"/>
        </w:rPr>
        <w:t>坚持不懈地树立“大科研”的强校理念，全校各个学科、各个学院、各个职能处室都倾尽全力支持、帮助、服务科研，为科研工作添砖加瓦。</w:t>
      </w:r>
      <w:r w:rsidR="00A81849">
        <w:rPr>
          <w:rFonts w:ascii="仿宋_GB2312" w:eastAsia="仿宋_GB2312" w:hAnsi="华文仿宋" w:cs="华文仿宋" w:hint="eastAsia"/>
          <w:sz w:val="32"/>
          <w:szCs w:val="32"/>
        </w:rPr>
        <w:t>科研处</w:t>
      </w:r>
      <w:r>
        <w:rPr>
          <w:rFonts w:ascii="仿宋_GB2312" w:eastAsia="仿宋_GB2312" w:hAnsi="华文仿宋" w:cs="华文仿宋" w:hint="eastAsia"/>
          <w:sz w:val="32"/>
          <w:szCs w:val="32"/>
        </w:rPr>
        <w:t>坚持“主体科研”的管理基点，学校全体师生是真正的科研主体和依托力量，我们通过搭建科研平台、优化科研政策、畅通科研信息、做好科研服务，切实调动起全校每一个人的科研积极性。</w:t>
      </w:r>
      <w:r w:rsidR="00A81849">
        <w:rPr>
          <w:rFonts w:ascii="仿宋_GB2312" w:eastAsia="仿宋_GB2312" w:hAnsi="华文仿宋" w:cs="华文仿宋" w:hint="eastAsia"/>
          <w:sz w:val="32"/>
          <w:szCs w:val="32"/>
        </w:rPr>
        <w:t>科研处</w:t>
      </w:r>
      <w:r>
        <w:rPr>
          <w:rFonts w:ascii="仿宋_GB2312" w:eastAsia="仿宋_GB2312" w:hAnsi="华文仿宋" w:cs="华文仿宋" w:hint="eastAsia"/>
          <w:sz w:val="32"/>
          <w:szCs w:val="32"/>
        </w:rPr>
        <w:t>践行“服务科研”的工作原则，对科研骨干和青年博士</w:t>
      </w:r>
      <w:r w:rsidR="00A81849">
        <w:rPr>
          <w:rFonts w:ascii="仿宋_GB2312" w:eastAsia="仿宋_GB2312" w:hAnsi="华文仿宋" w:cs="华文仿宋" w:hint="eastAsia"/>
          <w:sz w:val="32"/>
          <w:szCs w:val="32"/>
        </w:rPr>
        <w:t>多关心、多帮助、多支持、多服务</w:t>
      </w:r>
      <w:r>
        <w:rPr>
          <w:rFonts w:ascii="仿宋_GB2312" w:eastAsia="仿宋_GB2312" w:hAnsi="华文仿宋" w:cs="华文仿宋" w:hint="eastAsia"/>
          <w:sz w:val="32"/>
          <w:szCs w:val="32"/>
        </w:rPr>
        <w:t>。</w:t>
      </w:r>
      <w:r w:rsidR="00A81849">
        <w:rPr>
          <w:rFonts w:ascii="仿宋_GB2312" w:eastAsia="仿宋_GB2312" w:hAnsi="华文仿宋" w:cs="华文仿宋" w:hint="eastAsia"/>
          <w:sz w:val="32"/>
          <w:szCs w:val="32"/>
        </w:rPr>
        <w:t>科研处</w:t>
      </w:r>
      <w:r>
        <w:rPr>
          <w:rFonts w:ascii="仿宋_GB2312" w:eastAsia="仿宋_GB2312" w:hAnsi="华文仿宋" w:cs="华文仿宋" w:hint="eastAsia"/>
          <w:sz w:val="32"/>
          <w:szCs w:val="32"/>
        </w:rPr>
        <w:t>弘扬“理实并重”的科研精神，扭住科研发展和学科建设不放松，逆水行舟、砥砺前行。不断</w:t>
      </w:r>
      <w:r>
        <w:rPr>
          <w:rFonts w:ascii="仿宋_GB2312" w:eastAsia="仿宋_GB2312" w:hAnsi="仿宋" w:cs="仿宋" w:hint="eastAsia"/>
          <w:sz w:val="32"/>
          <w:szCs w:val="32"/>
        </w:rPr>
        <w:t>营造良好的学术氛围，推动学校的科研发展，有效提升了我校整体科研水平。</w:t>
      </w:r>
    </w:p>
    <w:p w:rsidR="00C00A72" w:rsidRDefault="006C4FDD" w:rsidP="00C07D89">
      <w:pPr>
        <w:snapToGrid w:val="0"/>
        <w:spacing w:line="360" w:lineRule="auto"/>
        <w:ind w:firstLine="645"/>
        <w:rPr>
          <w:rFonts w:ascii="仿宋_GB2312" w:eastAsia="仿宋_GB2312" w:hAnsi="仿宋" w:cs="仿宋"/>
          <w:sz w:val="32"/>
          <w:szCs w:val="32"/>
        </w:rPr>
      </w:pPr>
      <w:r>
        <w:rPr>
          <w:rFonts w:ascii="仿宋_GB2312" w:eastAsia="仿宋_GB2312" w:hAnsi="仿宋" w:cs="仿宋" w:hint="eastAsia"/>
          <w:sz w:val="32"/>
          <w:szCs w:val="32"/>
        </w:rPr>
        <w:t>2018年，科研处班子在主管校领导的带领下砥砺前行，取得了一定的成绩。但我们还应该看到与同省及全国兄弟院校之间的差距和不足。2019年，我们会更加脚踏实地，在“夯基础、强内涵、拓格局、上层次”的“大科研”的发展思路引领下为我校科研工作再上新台阶不懈努力奋斗。</w:t>
      </w:r>
    </w:p>
    <w:p w:rsidR="00C07D89" w:rsidRDefault="00C07D89" w:rsidP="00C07D89">
      <w:pPr>
        <w:snapToGrid w:val="0"/>
        <w:spacing w:line="360" w:lineRule="auto"/>
        <w:ind w:firstLine="645"/>
        <w:rPr>
          <w:rFonts w:ascii="仿宋_GB2312" w:eastAsia="仿宋_GB2312" w:hAnsi="仿宋" w:cs="仿宋"/>
          <w:sz w:val="32"/>
          <w:szCs w:val="32"/>
        </w:rPr>
      </w:pPr>
    </w:p>
    <w:p w:rsidR="00C00A72" w:rsidRDefault="006C4FDD">
      <w:pPr>
        <w:snapToGrid w:val="0"/>
        <w:spacing w:line="360" w:lineRule="auto"/>
        <w:ind w:firstLine="645"/>
        <w:rPr>
          <w:rFonts w:ascii="仿宋_GB2312" w:eastAsia="仿宋_GB2312" w:hAnsi="仿宋" w:cs="仿宋"/>
          <w:sz w:val="32"/>
          <w:szCs w:val="32"/>
        </w:rPr>
      </w:pPr>
      <w:r>
        <w:rPr>
          <w:rFonts w:ascii="仿宋_GB2312" w:eastAsia="仿宋_GB2312" w:hAnsi="仿宋" w:cs="仿宋" w:hint="eastAsia"/>
          <w:sz w:val="32"/>
          <w:szCs w:val="32"/>
        </w:rPr>
        <w:t xml:space="preserve">                                   </w:t>
      </w:r>
      <w:r w:rsidR="00A81849">
        <w:rPr>
          <w:rFonts w:ascii="仿宋_GB2312" w:eastAsia="仿宋_GB2312" w:hAnsi="仿宋" w:cs="仿宋" w:hint="eastAsia"/>
          <w:sz w:val="32"/>
          <w:szCs w:val="32"/>
        </w:rPr>
        <w:t xml:space="preserve">   </w:t>
      </w:r>
      <w:r>
        <w:rPr>
          <w:rFonts w:ascii="仿宋_GB2312" w:eastAsia="仿宋_GB2312" w:hAnsi="仿宋" w:cs="仿宋" w:hint="eastAsia"/>
          <w:sz w:val="32"/>
          <w:szCs w:val="32"/>
        </w:rPr>
        <w:t>科研处</w:t>
      </w:r>
    </w:p>
    <w:p w:rsidR="00C00A72" w:rsidRDefault="006C4FDD">
      <w:pPr>
        <w:snapToGrid w:val="0"/>
        <w:spacing w:line="360" w:lineRule="auto"/>
        <w:ind w:firstLine="645"/>
        <w:rPr>
          <w:rFonts w:ascii="仿宋_GB2312" w:eastAsia="仿宋_GB2312" w:hAnsi="仿宋" w:cs="仿宋"/>
          <w:sz w:val="32"/>
          <w:szCs w:val="32"/>
        </w:rPr>
      </w:pPr>
      <w:r>
        <w:rPr>
          <w:rFonts w:ascii="仿宋_GB2312" w:eastAsia="仿宋_GB2312" w:hAnsi="仿宋" w:cs="仿宋" w:hint="eastAsia"/>
          <w:sz w:val="32"/>
          <w:szCs w:val="32"/>
        </w:rPr>
        <w:t xml:space="preserve">                              </w:t>
      </w:r>
      <w:r w:rsidR="00A81849">
        <w:rPr>
          <w:rFonts w:ascii="仿宋_GB2312" w:eastAsia="仿宋_GB2312" w:hAnsi="仿宋" w:cs="仿宋" w:hint="eastAsia"/>
          <w:sz w:val="32"/>
          <w:szCs w:val="32"/>
        </w:rPr>
        <w:t xml:space="preserve">   </w:t>
      </w:r>
      <w:r>
        <w:rPr>
          <w:rFonts w:ascii="仿宋_GB2312" w:eastAsia="仿宋_GB2312" w:hAnsi="仿宋" w:cs="仿宋" w:hint="eastAsia"/>
          <w:sz w:val="32"/>
          <w:szCs w:val="32"/>
        </w:rPr>
        <w:t>2018年12月13日</w:t>
      </w:r>
    </w:p>
    <w:sectPr w:rsidR="00C00A72" w:rsidSect="00C00A72">
      <w:footerReference w:type="default" r:id="rId8"/>
      <w:pgSz w:w="11906" w:h="16838"/>
      <w:pgMar w:top="1440" w:right="1440" w:bottom="1440" w:left="144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D43" w:rsidRDefault="00071D43" w:rsidP="00C00A72">
      <w:r>
        <w:separator/>
      </w:r>
    </w:p>
  </w:endnote>
  <w:endnote w:type="continuationSeparator" w:id="0">
    <w:p w:rsidR="00071D43" w:rsidRDefault="00071D43" w:rsidP="00C00A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6655"/>
    </w:sdtPr>
    <w:sdtContent>
      <w:p w:rsidR="00C00A72" w:rsidRDefault="00102CC5">
        <w:pPr>
          <w:pStyle w:val="a6"/>
          <w:jc w:val="center"/>
        </w:pPr>
        <w:r w:rsidRPr="00102CC5">
          <w:fldChar w:fldCharType="begin"/>
        </w:r>
        <w:r w:rsidR="006C4FDD">
          <w:instrText xml:space="preserve"> PAGE   \* MERGEFORMAT </w:instrText>
        </w:r>
        <w:r w:rsidRPr="00102CC5">
          <w:fldChar w:fldCharType="separate"/>
        </w:r>
        <w:r w:rsidR="00C075F0" w:rsidRPr="00C075F0">
          <w:rPr>
            <w:noProof/>
            <w:lang w:val="zh-CN"/>
          </w:rPr>
          <w:t>1</w:t>
        </w:r>
        <w:r>
          <w:rPr>
            <w:lang w:val="zh-CN"/>
          </w:rPr>
          <w:fldChar w:fldCharType="end"/>
        </w:r>
      </w:p>
    </w:sdtContent>
  </w:sdt>
  <w:p w:rsidR="00C00A72" w:rsidRDefault="00C00A7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D43" w:rsidRDefault="00071D43" w:rsidP="00C00A72">
      <w:r>
        <w:separator/>
      </w:r>
    </w:p>
  </w:footnote>
  <w:footnote w:type="continuationSeparator" w:id="0">
    <w:p w:rsidR="00071D43" w:rsidRDefault="00071D43" w:rsidP="00C00A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noPunctuationKerning/>
  <w:characterSpacingControl w:val="compressPunctuation"/>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0055D"/>
    <w:rsid w:val="00002211"/>
    <w:rsid w:val="00005B70"/>
    <w:rsid w:val="00007E2B"/>
    <w:rsid w:val="0001115E"/>
    <w:rsid w:val="00024D3A"/>
    <w:rsid w:val="000264F9"/>
    <w:rsid w:val="00026A3A"/>
    <w:rsid w:val="00032CF7"/>
    <w:rsid w:val="00037062"/>
    <w:rsid w:val="0004656A"/>
    <w:rsid w:val="00050D98"/>
    <w:rsid w:val="00053AD3"/>
    <w:rsid w:val="0006054E"/>
    <w:rsid w:val="00071D43"/>
    <w:rsid w:val="000856E7"/>
    <w:rsid w:val="000B1CBE"/>
    <w:rsid w:val="000B1FE9"/>
    <w:rsid w:val="000B5CC3"/>
    <w:rsid w:val="000C0BAC"/>
    <w:rsid w:val="000C65BC"/>
    <w:rsid w:val="000C6BB8"/>
    <w:rsid w:val="000D6E2D"/>
    <w:rsid w:val="000E1955"/>
    <w:rsid w:val="000F145F"/>
    <w:rsid w:val="00102CC5"/>
    <w:rsid w:val="00121678"/>
    <w:rsid w:val="00122561"/>
    <w:rsid w:val="00125F36"/>
    <w:rsid w:val="00147A43"/>
    <w:rsid w:val="00152D2A"/>
    <w:rsid w:val="0016492B"/>
    <w:rsid w:val="00172A27"/>
    <w:rsid w:val="001846E1"/>
    <w:rsid w:val="00194145"/>
    <w:rsid w:val="001A1A06"/>
    <w:rsid w:val="001A2460"/>
    <w:rsid w:val="001A3EFB"/>
    <w:rsid w:val="001A43F4"/>
    <w:rsid w:val="001B322E"/>
    <w:rsid w:val="001B4126"/>
    <w:rsid w:val="001B72E0"/>
    <w:rsid w:val="001C3601"/>
    <w:rsid w:val="001D0BE2"/>
    <w:rsid w:val="00201828"/>
    <w:rsid w:val="002057A9"/>
    <w:rsid w:val="00212E9A"/>
    <w:rsid w:val="00220C5C"/>
    <w:rsid w:val="00223752"/>
    <w:rsid w:val="00257260"/>
    <w:rsid w:val="002773D2"/>
    <w:rsid w:val="002824FD"/>
    <w:rsid w:val="00283258"/>
    <w:rsid w:val="0028707C"/>
    <w:rsid w:val="00287440"/>
    <w:rsid w:val="00295727"/>
    <w:rsid w:val="002C05C4"/>
    <w:rsid w:val="002D3772"/>
    <w:rsid w:val="002D5DC4"/>
    <w:rsid w:val="002D6D03"/>
    <w:rsid w:val="002E3A4D"/>
    <w:rsid w:val="002F176A"/>
    <w:rsid w:val="00307506"/>
    <w:rsid w:val="00312652"/>
    <w:rsid w:val="00335E2F"/>
    <w:rsid w:val="00347519"/>
    <w:rsid w:val="003610A1"/>
    <w:rsid w:val="00364577"/>
    <w:rsid w:val="00366A86"/>
    <w:rsid w:val="00374D45"/>
    <w:rsid w:val="003811D9"/>
    <w:rsid w:val="00381843"/>
    <w:rsid w:val="00381D20"/>
    <w:rsid w:val="003825B2"/>
    <w:rsid w:val="0038652F"/>
    <w:rsid w:val="003942CC"/>
    <w:rsid w:val="0039715B"/>
    <w:rsid w:val="003B560C"/>
    <w:rsid w:val="003B6608"/>
    <w:rsid w:val="003B7D79"/>
    <w:rsid w:val="003C62F9"/>
    <w:rsid w:val="003D53D3"/>
    <w:rsid w:val="003E3824"/>
    <w:rsid w:val="003E4B12"/>
    <w:rsid w:val="003E597F"/>
    <w:rsid w:val="004006A4"/>
    <w:rsid w:val="00401418"/>
    <w:rsid w:val="00434F5D"/>
    <w:rsid w:val="00435A3F"/>
    <w:rsid w:val="0043610D"/>
    <w:rsid w:val="0043622F"/>
    <w:rsid w:val="00436285"/>
    <w:rsid w:val="004423F7"/>
    <w:rsid w:val="00447E3B"/>
    <w:rsid w:val="0045326D"/>
    <w:rsid w:val="004551BA"/>
    <w:rsid w:val="00457894"/>
    <w:rsid w:val="004664D6"/>
    <w:rsid w:val="0047605E"/>
    <w:rsid w:val="00476897"/>
    <w:rsid w:val="00476AB3"/>
    <w:rsid w:val="00480812"/>
    <w:rsid w:val="00482218"/>
    <w:rsid w:val="00487C03"/>
    <w:rsid w:val="00490B51"/>
    <w:rsid w:val="00490DB0"/>
    <w:rsid w:val="00493C78"/>
    <w:rsid w:val="004A171E"/>
    <w:rsid w:val="004A2971"/>
    <w:rsid w:val="004A3C5D"/>
    <w:rsid w:val="004C40B3"/>
    <w:rsid w:val="004C6C61"/>
    <w:rsid w:val="004C76EC"/>
    <w:rsid w:val="004C7D1F"/>
    <w:rsid w:val="004D1507"/>
    <w:rsid w:val="004E791C"/>
    <w:rsid w:val="00502AFF"/>
    <w:rsid w:val="00523BA7"/>
    <w:rsid w:val="00523D15"/>
    <w:rsid w:val="00526D67"/>
    <w:rsid w:val="00531DBE"/>
    <w:rsid w:val="00532144"/>
    <w:rsid w:val="00550052"/>
    <w:rsid w:val="00557A72"/>
    <w:rsid w:val="00571070"/>
    <w:rsid w:val="00592DF9"/>
    <w:rsid w:val="005B4F55"/>
    <w:rsid w:val="005C2E10"/>
    <w:rsid w:val="005C44B2"/>
    <w:rsid w:val="005D3679"/>
    <w:rsid w:val="005E1424"/>
    <w:rsid w:val="005E2974"/>
    <w:rsid w:val="005E5BFE"/>
    <w:rsid w:val="005F026D"/>
    <w:rsid w:val="005F09C8"/>
    <w:rsid w:val="005F3048"/>
    <w:rsid w:val="00617DD2"/>
    <w:rsid w:val="00632640"/>
    <w:rsid w:val="006455A3"/>
    <w:rsid w:val="00651248"/>
    <w:rsid w:val="00655969"/>
    <w:rsid w:val="00657D67"/>
    <w:rsid w:val="00662523"/>
    <w:rsid w:val="00664BC0"/>
    <w:rsid w:val="0068705D"/>
    <w:rsid w:val="00687D12"/>
    <w:rsid w:val="006B0936"/>
    <w:rsid w:val="006B3632"/>
    <w:rsid w:val="006C2BF5"/>
    <w:rsid w:val="006C4FDD"/>
    <w:rsid w:val="006D15D6"/>
    <w:rsid w:val="006D4BAA"/>
    <w:rsid w:val="006F1AAA"/>
    <w:rsid w:val="0070177B"/>
    <w:rsid w:val="0070205A"/>
    <w:rsid w:val="007075EF"/>
    <w:rsid w:val="00710B27"/>
    <w:rsid w:val="00713496"/>
    <w:rsid w:val="007136B8"/>
    <w:rsid w:val="007227D8"/>
    <w:rsid w:val="0073229B"/>
    <w:rsid w:val="007352C0"/>
    <w:rsid w:val="00736A1B"/>
    <w:rsid w:val="00770C74"/>
    <w:rsid w:val="00790559"/>
    <w:rsid w:val="007B10B1"/>
    <w:rsid w:val="007B6213"/>
    <w:rsid w:val="007D7802"/>
    <w:rsid w:val="007F1BDC"/>
    <w:rsid w:val="007F287B"/>
    <w:rsid w:val="007F7EC1"/>
    <w:rsid w:val="00810E09"/>
    <w:rsid w:val="00813BF0"/>
    <w:rsid w:val="008225CB"/>
    <w:rsid w:val="0082735A"/>
    <w:rsid w:val="0083776B"/>
    <w:rsid w:val="0084155B"/>
    <w:rsid w:val="0086410D"/>
    <w:rsid w:val="008A4D35"/>
    <w:rsid w:val="008B74E0"/>
    <w:rsid w:val="008C41DC"/>
    <w:rsid w:val="008C5455"/>
    <w:rsid w:val="008D051E"/>
    <w:rsid w:val="008D67C1"/>
    <w:rsid w:val="008D6BB1"/>
    <w:rsid w:val="008E389B"/>
    <w:rsid w:val="008E4E75"/>
    <w:rsid w:val="008F06C0"/>
    <w:rsid w:val="00902601"/>
    <w:rsid w:val="00915786"/>
    <w:rsid w:val="009402B6"/>
    <w:rsid w:val="00940E6D"/>
    <w:rsid w:val="00954F0A"/>
    <w:rsid w:val="00961A69"/>
    <w:rsid w:val="00980E8C"/>
    <w:rsid w:val="00982561"/>
    <w:rsid w:val="00992E77"/>
    <w:rsid w:val="00995A61"/>
    <w:rsid w:val="009A181E"/>
    <w:rsid w:val="009A1D12"/>
    <w:rsid w:val="009C4E92"/>
    <w:rsid w:val="009D482C"/>
    <w:rsid w:val="009E7BA5"/>
    <w:rsid w:val="00A03BE0"/>
    <w:rsid w:val="00A32D23"/>
    <w:rsid w:val="00A35868"/>
    <w:rsid w:val="00A41141"/>
    <w:rsid w:val="00A44BE8"/>
    <w:rsid w:val="00A50660"/>
    <w:rsid w:val="00A51747"/>
    <w:rsid w:val="00A60138"/>
    <w:rsid w:val="00A61C07"/>
    <w:rsid w:val="00A63DD4"/>
    <w:rsid w:val="00A711AA"/>
    <w:rsid w:val="00A724FB"/>
    <w:rsid w:val="00A74A6D"/>
    <w:rsid w:val="00A75724"/>
    <w:rsid w:val="00A81849"/>
    <w:rsid w:val="00A92E21"/>
    <w:rsid w:val="00A95A5D"/>
    <w:rsid w:val="00AA223C"/>
    <w:rsid w:val="00AA5E11"/>
    <w:rsid w:val="00AB7AE8"/>
    <w:rsid w:val="00AC30EB"/>
    <w:rsid w:val="00AC351A"/>
    <w:rsid w:val="00AD35AF"/>
    <w:rsid w:val="00AD6F0A"/>
    <w:rsid w:val="00AE37C9"/>
    <w:rsid w:val="00AE3B4C"/>
    <w:rsid w:val="00AF434A"/>
    <w:rsid w:val="00AF44CB"/>
    <w:rsid w:val="00AF668D"/>
    <w:rsid w:val="00B065E1"/>
    <w:rsid w:val="00B1797D"/>
    <w:rsid w:val="00B22FEF"/>
    <w:rsid w:val="00B5451D"/>
    <w:rsid w:val="00B57ECF"/>
    <w:rsid w:val="00B648E4"/>
    <w:rsid w:val="00B65822"/>
    <w:rsid w:val="00B6616C"/>
    <w:rsid w:val="00B74449"/>
    <w:rsid w:val="00B747E7"/>
    <w:rsid w:val="00B86F17"/>
    <w:rsid w:val="00BA5BC4"/>
    <w:rsid w:val="00BD15EF"/>
    <w:rsid w:val="00BF55E7"/>
    <w:rsid w:val="00C00A72"/>
    <w:rsid w:val="00C075F0"/>
    <w:rsid w:val="00C07D89"/>
    <w:rsid w:val="00C14F09"/>
    <w:rsid w:val="00C16F23"/>
    <w:rsid w:val="00C2413E"/>
    <w:rsid w:val="00C33005"/>
    <w:rsid w:val="00C3496D"/>
    <w:rsid w:val="00C36551"/>
    <w:rsid w:val="00C423E9"/>
    <w:rsid w:val="00C43548"/>
    <w:rsid w:val="00C51EB1"/>
    <w:rsid w:val="00C54D5C"/>
    <w:rsid w:val="00C5531C"/>
    <w:rsid w:val="00C611B1"/>
    <w:rsid w:val="00C77964"/>
    <w:rsid w:val="00C815A5"/>
    <w:rsid w:val="00CA27F4"/>
    <w:rsid w:val="00CB3767"/>
    <w:rsid w:val="00CD1B7F"/>
    <w:rsid w:val="00CF02DC"/>
    <w:rsid w:val="00CF55AF"/>
    <w:rsid w:val="00D03059"/>
    <w:rsid w:val="00D03596"/>
    <w:rsid w:val="00D20068"/>
    <w:rsid w:val="00D25D97"/>
    <w:rsid w:val="00D37EB7"/>
    <w:rsid w:val="00D40C3E"/>
    <w:rsid w:val="00D41A32"/>
    <w:rsid w:val="00D41EC1"/>
    <w:rsid w:val="00D46BF9"/>
    <w:rsid w:val="00D476F7"/>
    <w:rsid w:val="00D518DE"/>
    <w:rsid w:val="00D56F24"/>
    <w:rsid w:val="00D712FD"/>
    <w:rsid w:val="00D76943"/>
    <w:rsid w:val="00D94191"/>
    <w:rsid w:val="00DA5FE0"/>
    <w:rsid w:val="00DA6AF9"/>
    <w:rsid w:val="00DA74B4"/>
    <w:rsid w:val="00DA75FD"/>
    <w:rsid w:val="00DB2DEB"/>
    <w:rsid w:val="00DD67E4"/>
    <w:rsid w:val="00DE1770"/>
    <w:rsid w:val="00DF2240"/>
    <w:rsid w:val="00DF3434"/>
    <w:rsid w:val="00DF641C"/>
    <w:rsid w:val="00E060E6"/>
    <w:rsid w:val="00E06E76"/>
    <w:rsid w:val="00E10BBE"/>
    <w:rsid w:val="00E11571"/>
    <w:rsid w:val="00E122F3"/>
    <w:rsid w:val="00E15FEB"/>
    <w:rsid w:val="00E16D7C"/>
    <w:rsid w:val="00E22D6E"/>
    <w:rsid w:val="00E23D1A"/>
    <w:rsid w:val="00E3441C"/>
    <w:rsid w:val="00E412E7"/>
    <w:rsid w:val="00E43310"/>
    <w:rsid w:val="00E63098"/>
    <w:rsid w:val="00E6312F"/>
    <w:rsid w:val="00E64519"/>
    <w:rsid w:val="00E67D23"/>
    <w:rsid w:val="00E75128"/>
    <w:rsid w:val="00E86A78"/>
    <w:rsid w:val="00E97CE9"/>
    <w:rsid w:val="00EA4ED1"/>
    <w:rsid w:val="00EB674D"/>
    <w:rsid w:val="00EB6842"/>
    <w:rsid w:val="00EC76E9"/>
    <w:rsid w:val="00ED1FA0"/>
    <w:rsid w:val="00ED5659"/>
    <w:rsid w:val="00EE0549"/>
    <w:rsid w:val="00EE1924"/>
    <w:rsid w:val="00EE64A8"/>
    <w:rsid w:val="00F15CA4"/>
    <w:rsid w:val="00F30082"/>
    <w:rsid w:val="00F3461D"/>
    <w:rsid w:val="00F37C7B"/>
    <w:rsid w:val="00F50246"/>
    <w:rsid w:val="00F523F9"/>
    <w:rsid w:val="00F53E50"/>
    <w:rsid w:val="00F7448B"/>
    <w:rsid w:val="00F8191C"/>
    <w:rsid w:val="00F82F0A"/>
    <w:rsid w:val="00F87922"/>
    <w:rsid w:val="00F90ED7"/>
    <w:rsid w:val="00FA5A88"/>
    <w:rsid w:val="00FB0396"/>
    <w:rsid w:val="00FC47B9"/>
    <w:rsid w:val="00FD091A"/>
    <w:rsid w:val="00FD7920"/>
    <w:rsid w:val="00FE13DA"/>
    <w:rsid w:val="017B7A77"/>
    <w:rsid w:val="03A2126A"/>
    <w:rsid w:val="03E04B6A"/>
    <w:rsid w:val="0A9B50A0"/>
    <w:rsid w:val="0B905A4B"/>
    <w:rsid w:val="0DB01BE8"/>
    <w:rsid w:val="0E0557F0"/>
    <w:rsid w:val="0F4C4758"/>
    <w:rsid w:val="10FD29EF"/>
    <w:rsid w:val="14FD557A"/>
    <w:rsid w:val="162044ED"/>
    <w:rsid w:val="174319A1"/>
    <w:rsid w:val="198C685D"/>
    <w:rsid w:val="1BBE1F71"/>
    <w:rsid w:val="1DCD494E"/>
    <w:rsid w:val="1E2F5FC4"/>
    <w:rsid w:val="1F8A4B9E"/>
    <w:rsid w:val="21FB04CE"/>
    <w:rsid w:val="22B94C5C"/>
    <w:rsid w:val="23856D9B"/>
    <w:rsid w:val="23942744"/>
    <w:rsid w:val="30EC68F9"/>
    <w:rsid w:val="32F639D7"/>
    <w:rsid w:val="3474329C"/>
    <w:rsid w:val="34CD72A6"/>
    <w:rsid w:val="36DD4ABA"/>
    <w:rsid w:val="37203F05"/>
    <w:rsid w:val="376513F0"/>
    <w:rsid w:val="3B5D40B7"/>
    <w:rsid w:val="3BD95A5A"/>
    <w:rsid w:val="3C762EF8"/>
    <w:rsid w:val="3D97091B"/>
    <w:rsid w:val="3F8E3A85"/>
    <w:rsid w:val="3FB74296"/>
    <w:rsid w:val="414A2848"/>
    <w:rsid w:val="415C7774"/>
    <w:rsid w:val="452B7199"/>
    <w:rsid w:val="465C18E5"/>
    <w:rsid w:val="46713D3D"/>
    <w:rsid w:val="46EB2C18"/>
    <w:rsid w:val="4B3621F1"/>
    <w:rsid w:val="4C5275C3"/>
    <w:rsid w:val="4D9C6169"/>
    <w:rsid w:val="4DAC5F9A"/>
    <w:rsid w:val="5273512D"/>
    <w:rsid w:val="537C2337"/>
    <w:rsid w:val="54665A8F"/>
    <w:rsid w:val="55E05024"/>
    <w:rsid w:val="577940C0"/>
    <w:rsid w:val="58CD1F3D"/>
    <w:rsid w:val="5DCF1600"/>
    <w:rsid w:val="5E9012B2"/>
    <w:rsid w:val="61241126"/>
    <w:rsid w:val="636B232C"/>
    <w:rsid w:val="64C55E2D"/>
    <w:rsid w:val="64EE6B9F"/>
    <w:rsid w:val="660157E8"/>
    <w:rsid w:val="66B3044C"/>
    <w:rsid w:val="6887607B"/>
    <w:rsid w:val="6C6767C6"/>
    <w:rsid w:val="6CBF25A1"/>
    <w:rsid w:val="6CCC3C0D"/>
    <w:rsid w:val="71EA6460"/>
    <w:rsid w:val="72193DBF"/>
    <w:rsid w:val="723F29AB"/>
    <w:rsid w:val="734D6F8B"/>
    <w:rsid w:val="7374641C"/>
    <w:rsid w:val="76FE2609"/>
    <w:rsid w:val="772634A0"/>
    <w:rsid w:val="776D4D9A"/>
    <w:rsid w:val="783201C2"/>
    <w:rsid w:val="78574B30"/>
    <w:rsid w:val="7AA94203"/>
    <w:rsid w:val="7D7035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A72"/>
    <w:pPr>
      <w:widowControl w:val="0"/>
      <w:jc w:val="both"/>
    </w:pPr>
    <w:rPr>
      <w:kern w:val="2"/>
      <w:sz w:val="21"/>
      <w:szCs w:val="24"/>
    </w:rPr>
  </w:style>
  <w:style w:type="paragraph" w:styleId="1">
    <w:name w:val="heading 1"/>
    <w:basedOn w:val="a"/>
    <w:next w:val="a"/>
    <w:qFormat/>
    <w:rsid w:val="00C00A72"/>
    <w:pPr>
      <w:keepNext/>
      <w:keepLines/>
      <w:spacing w:before="340" w:after="330" w:line="578" w:lineRule="auto"/>
      <w:outlineLvl w:val="0"/>
    </w:pPr>
    <w:rPr>
      <w:b/>
      <w:bCs/>
      <w:kern w:val="44"/>
      <w:sz w:val="44"/>
      <w:szCs w:val="44"/>
    </w:rPr>
  </w:style>
  <w:style w:type="paragraph" w:styleId="3">
    <w:name w:val="heading 3"/>
    <w:basedOn w:val="a"/>
    <w:next w:val="a"/>
    <w:link w:val="3Char"/>
    <w:unhideWhenUsed/>
    <w:qFormat/>
    <w:rsid w:val="00C00A7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sid w:val="00C00A72"/>
    <w:rPr>
      <w:b/>
      <w:bCs/>
    </w:rPr>
  </w:style>
  <w:style w:type="paragraph" w:styleId="a4">
    <w:name w:val="annotation text"/>
    <w:basedOn w:val="a"/>
    <w:semiHidden/>
    <w:qFormat/>
    <w:rsid w:val="00C00A72"/>
    <w:pPr>
      <w:jc w:val="left"/>
    </w:pPr>
  </w:style>
  <w:style w:type="paragraph" w:styleId="a5">
    <w:name w:val="Balloon Text"/>
    <w:basedOn w:val="a"/>
    <w:semiHidden/>
    <w:qFormat/>
    <w:rsid w:val="00C00A72"/>
    <w:rPr>
      <w:sz w:val="18"/>
      <w:szCs w:val="18"/>
    </w:rPr>
  </w:style>
  <w:style w:type="paragraph" w:styleId="a6">
    <w:name w:val="footer"/>
    <w:basedOn w:val="a"/>
    <w:link w:val="Char"/>
    <w:uiPriority w:val="99"/>
    <w:qFormat/>
    <w:rsid w:val="00C00A72"/>
    <w:pPr>
      <w:tabs>
        <w:tab w:val="center" w:pos="4153"/>
        <w:tab w:val="right" w:pos="8306"/>
      </w:tabs>
      <w:snapToGrid w:val="0"/>
      <w:jc w:val="left"/>
    </w:pPr>
    <w:rPr>
      <w:sz w:val="18"/>
      <w:szCs w:val="18"/>
    </w:rPr>
  </w:style>
  <w:style w:type="paragraph" w:styleId="a7">
    <w:name w:val="header"/>
    <w:basedOn w:val="a"/>
    <w:qFormat/>
    <w:rsid w:val="00C00A72"/>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C00A72"/>
    <w:pPr>
      <w:spacing w:before="100" w:beforeAutospacing="1" w:after="100" w:afterAutospacing="1"/>
      <w:jc w:val="left"/>
    </w:pPr>
    <w:rPr>
      <w:kern w:val="0"/>
      <w:sz w:val="24"/>
    </w:rPr>
  </w:style>
  <w:style w:type="character" w:styleId="a9">
    <w:name w:val="Strong"/>
    <w:uiPriority w:val="22"/>
    <w:qFormat/>
    <w:rsid w:val="00C00A72"/>
    <w:rPr>
      <w:rFonts w:hint="default"/>
      <w:b/>
    </w:rPr>
  </w:style>
  <w:style w:type="character" w:styleId="aa">
    <w:name w:val="page number"/>
    <w:basedOn w:val="a0"/>
    <w:qFormat/>
    <w:rsid w:val="00C00A72"/>
    <w:rPr>
      <w:rFonts w:ascii="仿宋_GB2312" w:eastAsia="仿宋_GB2312"/>
      <w:b/>
      <w:sz w:val="32"/>
      <w:szCs w:val="32"/>
    </w:rPr>
  </w:style>
  <w:style w:type="character" w:styleId="ab">
    <w:name w:val="FollowedHyperlink"/>
    <w:basedOn w:val="a0"/>
    <w:qFormat/>
    <w:rsid w:val="00C00A72"/>
    <w:rPr>
      <w:rFonts w:ascii="仿宋_GB2312" w:eastAsia="仿宋_GB2312" w:hint="default"/>
      <w:b/>
      <w:color w:val="003562"/>
      <w:sz w:val="32"/>
      <w:szCs w:val="32"/>
      <w:u w:val="none"/>
    </w:rPr>
  </w:style>
  <w:style w:type="character" w:styleId="ac">
    <w:name w:val="Emphasis"/>
    <w:qFormat/>
    <w:rsid w:val="00C00A72"/>
    <w:rPr>
      <w:rFonts w:hint="default"/>
      <w:i/>
    </w:rPr>
  </w:style>
  <w:style w:type="character" w:styleId="ad">
    <w:name w:val="Hyperlink"/>
    <w:basedOn w:val="a0"/>
    <w:qFormat/>
    <w:rsid w:val="00C00A72"/>
    <w:rPr>
      <w:rFonts w:ascii="仿宋_GB2312" w:eastAsia="仿宋_GB2312" w:hint="default"/>
      <w:b/>
      <w:color w:val="003562"/>
      <w:sz w:val="32"/>
      <w:szCs w:val="32"/>
      <w:u w:val="none"/>
    </w:rPr>
  </w:style>
  <w:style w:type="character" w:styleId="ae">
    <w:name w:val="annotation reference"/>
    <w:basedOn w:val="a0"/>
    <w:semiHidden/>
    <w:qFormat/>
    <w:rsid w:val="00C00A72"/>
    <w:rPr>
      <w:rFonts w:ascii="仿宋_GB2312" w:eastAsia="仿宋_GB2312"/>
      <w:b/>
      <w:sz w:val="21"/>
      <w:szCs w:val="21"/>
    </w:rPr>
  </w:style>
  <w:style w:type="table" w:styleId="af">
    <w:name w:val="Table Grid"/>
    <w:basedOn w:val="a1"/>
    <w:qFormat/>
    <w:rsid w:val="00C00A72"/>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eyboard">
    <w:name w:val="Keyboard"/>
    <w:uiPriority w:val="99"/>
    <w:unhideWhenUsed/>
    <w:qFormat/>
    <w:rsid w:val="00C00A72"/>
    <w:rPr>
      <w:rFonts w:ascii="Courier New" w:eastAsia="Courier New" w:hAnsi="Courier New" w:hint="default"/>
      <w:b/>
    </w:rPr>
  </w:style>
  <w:style w:type="character" w:customStyle="1" w:styleId="Definition">
    <w:name w:val="Definition"/>
    <w:uiPriority w:val="99"/>
    <w:unhideWhenUsed/>
    <w:qFormat/>
    <w:rsid w:val="00C00A72"/>
    <w:rPr>
      <w:rFonts w:hint="default"/>
      <w:i/>
    </w:rPr>
  </w:style>
  <w:style w:type="character" w:customStyle="1" w:styleId="CODE">
    <w:name w:val="CODE"/>
    <w:uiPriority w:val="99"/>
    <w:unhideWhenUsed/>
    <w:qFormat/>
    <w:rsid w:val="00C00A72"/>
    <w:rPr>
      <w:rFonts w:ascii="Courier New" w:eastAsia="Courier New" w:hAnsi="Courier New" w:hint="default"/>
    </w:rPr>
  </w:style>
  <w:style w:type="character" w:customStyle="1" w:styleId="CITE">
    <w:name w:val="CITE"/>
    <w:uiPriority w:val="99"/>
    <w:unhideWhenUsed/>
    <w:qFormat/>
    <w:rsid w:val="00C00A72"/>
    <w:rPr>
      <w:rFonts w:hint="default"/>
      <w:i/>
    </w:rPr>
  </w:style>
  <w:style w:type="character" w:customStyle="1" w:styleId="HTMLMarkup">
    <w:name w:val="HTML Markup"/>
    <w:uiPriority w:val="99"/>
    <w:unhideWhenUsed/>
    <w:qFormat/>
    <w:rsid w:val="00C00A72"/>
    <w:rPr>
      <w:rFonts w:hint="default"/>
      <w:vanish/>
      <w:color w:val="FF0000"/>
    </w:rPr>
  </w:style>
  <w:style w:type="character" w:customStyle="1" w:styleId="Typewriter">
    <w:name w:val="Typewriter"/>
    <w:uiPriority w:val="99"/>
    <w:unhideWhenUsed/>
    <w:qFormat/>
    <w:rsid w:val="00C00A72"/>
    <w:rPr>
      <w:rFonts w:ascii="Courier New" w:eastAsia="Courier New" w:hAnsi="Courier New" w:hint="default"/>
    </w:rPr>
  </w:style>
  <w:style w:type="character" w:customStyle="1" w:styleId="Variable">
    <w:name w:val="Variable"/>
    <w:uiPriority w:val="99"/>
    <w:unhideWhenUsed/>
    <w:qFormat/>
    <w:rsid w:val="00C00A72"/>
    <w:rPr>
      <w:rFonts w:hint="default"/>
      <w:i/>
    </w:rPr>
  </w:style>
  <w:style w:type="character" w:customStyle="1" w:styleId="Comment">
    <w:name w:val="Comment"/>
    <w:uiPriority w:val="99"/>
    <w:unhideWhenUsed/>
    <w:qFormat/>
    <w:rsid w:val="00C00A72"/>
    <w:rPr>
      <w:rFonts w:hint="default"/>
      <w:vanish/>
    </w:rPr>
  </w:style>
  <w:style w:type="character" w:customStyle="1" w:styleId="Sample">
    <w:name w:val="Sample"/>
    <w:uiPriority w:val="99"/>
    <w:unhideWhenUsed/>
    <w:qFormat/>
    <w:rsid w:val="00C00A72"/>
    <w:rPr>
      <w:rFonts w:ascii="Courier New" w:eastAsia="Courier New" w:hAnsi="Courier New" w:hint="default"/>
    </w:rPr>
  </w:style>
  <w:style w:type="paragraph" w:customStyle="1" w:styleId="H5">
    <w:name w:val="H5"/>
    <w:basedOn w:val="a"/>
    <w:next w:val="a"/>
    <w:uiPriority w:val="99"/>
    <w:unhideWhenUsed/>
    <w:qFormat/>
    <w:rsid w:val="00C00A72"/>
    <w:pPr>
      <w:keepNext/>
      <w:outlineLvl w:val="5"/>
    </w:pPr>
    <w:rPr>
      <w:b/>
    </w:rPr>
  </w:style>
  <w:style w:type="paragraph" w:customStyle="1" w:styleId="Blockquote">
    <w:name w:val="Blockquote"/>
    <w:basedOn w:val="a"/>
    <w:uiPriority w:val="99"/>
    <w:unhideWhenUsed/>
    <w:qFormat/>
    <w:rsid w:val="00C00A72"/>
    <w:pPr>
      <w:ind w:left="360" w:right="360"/>
    </w:pPr>
  </w:style>
  <w:style w:type="paragraph" w:customStyle="1" w:styleId="H1">
    <w:name w:val="H1"/>
    <w:basedOn w:val="a"/>
    <w:next w:val="a"/>
    <w:uiPriority w:val="99"/>
    <w:unhideWhenUsed/>
    <w:qFormat/>
    <w:rsid w:val="00C00A72"/>
    <w:pPr>
      <w:keepNext/>
      <w:outlineLvl w:val="1"/>
    </w:pPr>
    <w:rPr>
      <w:b/>
      <w:kern w:val="36"/>
      <w:sz w:val="48"/>
    </w:rPr>
  </w:style>
  <w:style w:type="paragraph" w:customStyle="1" w:styleId="DefinitionList">
    <w:name w:val="Definition List"/>
    <w:basedOn w:val="a"/>
    <w:next w:val="DefinitionTerm"/>
    <w:uiPriority w:val="99"/>
    <w:unhideWhenUsed/>
    <w:qFormat/>
    <w:rsid w:val="00C00A72"/>
    <w:pPr>
      <w:ind w:left="360"/>
    </w:pPr>
  </w:style>
  <w:style w:type="paragraph" w:customStyle="1" w:styleId="DefinitionTerm">
    <w:name w:val="Definition Term"/>
    <w:basedOn w:val="a"/>
    <w:next w:val="DefinitionList"/>
    <w:uiPriority w:val="99"/>
    <w:unhideWhenUsed/>
    <w:qFormat/>
    <w:rsid w:val="00C00A72"/>
  </w:style>
  <w:style w:type="paragraph" w:customStyle="1" w:styleId="z-TopofForm">
    <w:name w:val="z-Top of Form"/>
    <w:next w:val="a"/>
    <w:uiPriority w:val="99"/>
    <w:unhideWhenUsed/>
    <w:qFormat/>
    <w:rsid w:val="00C00A72"/>
    <w:pPr>
      <w:widowControl w:val="0"/>
      <w:pBdr>
        <w:bottom w:val="double" w:sz="2" w:space="0" w:color="000000"/>
      </w:pBdr>
      <w:autoSpaceDE w:val="0"/>
      <w:autoSpaceDN w:val="0"/>
      <w:jc w:val="center"/>
    </w:pPr>
    <w:rPr>
      <w:rFonts w:ascii="Arial" w:eastAsia="Arial" w:hAnsi="Arial"/>
      <w:vanish/>
      <w:sz w:val="16"/>
    </w:rPr>
  </w:style>
  <w:style w:type="paragraph" w:customStyle="1" w:styleId="H2">
    <w:name w:val="H2"/>
    <w:basedOn w:val="a"/>
    <w:next w:val="a"/>
    <w:uiPriority w:val="99"/>
    <w:unhideWhenUsed/>
    <w:qFormat/>
    <w:rsid w:val="00C00A72"/>
    <w:pPr>
      <w:keepNext/>
      <w:outlineLvl w:val="2"/>
    </w:pPr>
    <w:rPr>
      <w:b/>
      <w:sz w:val="36"/>
    </w:rPr>
  </w:style>
  <w:style w:type="paragraph" w:customStyle="1" w:styleId="10">
    <w:name w:val="普通(网站)1"/>
    <w:basedOn w:val="a"/>
    <w:qFormat/>
    <w:rsid w:val="00C00A72"/>
    <w:pPr>
      <w:spacing w:before="100" w:beforeAutospacing="1" w:after="100" w:afterAutospacing="1"/>
    </w:pPr>
    <w:rPr>
      <w:rFonts w:ascii="宋体" w:hAnsi="宋体" w:cs="宋体"/>
      <w:sz w:val="24"/>
    </w:rPr>
  </w:style>
  <w:style w:type="paragraph" w:customStyle="1" w:styleId="H4">
    <w:name w:val="H4"/>
    <w:basedOn w:val="a"/>
    <w:next w:val="a"/>
    <w:uiPriority w:val="99"/>
    <w:unhideWhenUsed/>
    <w:qFormat/>
    <w:rsid w:val="00C00A72"/>
    <w:pPr>
      <w:keepNext/>
      <w:outlineLvl w:val="4"/>
    </w:pPr>
    <w:rPr>
      <w:b/>
      <w:sz w:val="24"/>
    </w:rPr>
  </w:style>
  <w:style w:type="paragraph" w:customStyle="1" w:styleId="z-BottomofForm">
    <w:name w:val="z-Bottom of Form"/>
    <w:next w:val="a"/>
    <w:uiPriority w:val="99"/>
    <w:unhideWhenUsed/>
    <w:qFormat/>
    <w:rsid w:val="00C00A72"/>
    <w:pPr>
      <w:widowControl w:val="0"/>
      <w:pBdr>
        <w:top w:val="double" w:sz="2" w:space="0" w:color="000000"/>
      </w:pBdr>
      <w:autoSpaceDE w:val="0"/>
      <w:autoSpaceDN w:val="0"/>
      <w:jc w:val="center"/>
    </w:pPr>
    <w:rPr>
      <w:rFonts w:ascii="Arial" w:eastAsia="Arial" w:hAnsi="Arial"/>
      <w:vanish/>
      <w:sz w:val="16"/>
    </w:rPr>
  </w:style>
  <w:style w:type="paragraph" w:customStyle="1" w:styleId="Preformatted">
    <w:name w:val="Preformatted"/>
    <w:basedOn w:val="a"/>
    <w:uiPriority w:val="99"/>
    <w:unhideWhenUsed/>
    <w:qFormat/>
    <w:rsid w:val="00C00A7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urier New" w:hAnsi="Courier New"/>
    </w:rPr>
  </w:style>
  <w:style w:type="paragraph" w:customStyle="1" w:styleId="CharCharCharChar">
    <w:name w:val="Char Char Char Char"/>
    <w:basedOn w:val="a"/>
    <w:qFormat/>
    <w:rsid w:val="00C00A72"/>
    <w:rPr>
      <w:rFonts w:ascii="仿宋_GB2312" w:eastAsia="仿宋_GB2312"/>
      <w:b/>
      <w:sz w:val="32"/>
      <w:szCs w:val="32"/>
    </w:rPr>
  </w:style>
  <w:style w:type="paragraph" w:customStyle="1" w:styleId="11">
    <w:name w:val="列出段落1"/>
    <w:basedOn w:val="a"/>
    <w:uiPriority w:val="34"/>
    <w:qFormat/>
    <w:rsid w:val="00C00A72"/>
    <w:pPr>
      <w:ind w:firstLineChars="200" w:firstLine="420"/>
    </w:pPr>
  </w:style>
  <w:style w:type="paragraph" w:customStyle="1" w:styleId="H3">
    <w:name w:val="H3"/>
    <w:basedOn w:val="a"/>
    <w:next w:val="a"/>
    <w:uiPriority w:val="99"/>
    <w:unhideWhenUsed/>
    <w:qFormat/>
    <w:rsid w:val="00C00A72"/>
    <w:pPr>
      <w:keepNext/>
      <w:outlineLvl w:val="3"/>
    </w:pPr>
    <w:rPr>
      <w:b/>
      <w:sz w:val="28"/>
    </w:rPr>
  </w:style>
  <w:style w:type="paragraph" w:customStyle="1" w:styleId="H6">
    <w:name w:val="H6"/>
    <w:basedOn w:val="a"/>
    <w:next w:val="a"/>
    <w:uiPriority w:val="99"/>
    <w:unhideWhenUsed/>
    <w:qFormat/>
    <w:rsid w:val="00C00A72"/>
    <w:pPr>
      <w:keepNext/>
      <w:outlineLvl w:val="6"/>
    </w:pPr>
    <w:rPr>
      <w:b/>
      <w:sz w:val="16"/>
    </w:rPr>
  </w:style>
  <w:style w:type="paragraph" w:customStyle="1" w:styleId="Address">
    <w:name w:val="Address"/>
    <w:basedOn w:val="a"/>
    <w:next w:val="a"/>
    <w:uiPriority w:val="99"/>
    <w:unhideWhenUsed/>
    <w:qFormat/>
    <w:rsid w:val="00C00A72"/>
    <w:rPr>
      <w:i/>
    </w:rPr>
  </w:style>
  <w:style w:type="character" w:customStyle="1" w:styleId="3Char">
    <w:name w:val="标题 3 Char"/>
    <w:basedOn w:val="a0"/>
    <w:link w:val="3"/>
    <w:uiPriority w:val="99"/>
    <w:qFormat/>
    <w:rsid w:val="00C00A72"/>
    <w:rPr>
      <w:b/>
      <w:bCs/>
      <w:kern w:val="2"/>
      <w:sz w:val="32"/>
      <w:szCs w:val="32"/>
    </w:rPr>
  </w:style>
  <w:style w:type="character" w:customStyle="1" w:styleId="bsharetext">
    <w:name w:val="bsharetext"/>
    <w:basedOn w:val="a0"/>
    <w:qFormat/>
    <w:rsid w:val="00C00A72"/>
  </w:style>
  <w:style w:type="paragraph" w:styleId="af0">
    <w:name w:val="List Paragraph"/>
    <w:basedOn w:val="a"/>
    <w:uiPriority w:val="34"/>
    <w:qFormat/>
    <w:rsid w:val="00C00A72"/>
    <w:pPr>
      <w:ind w:firstLineChars="200" w:firstLine="420"/>
    </w:pPr>
    <w:rPr>
      <w:rFonts w:asciiTheme="minorHAnsi" w:eastAsiaTheme="minorEastAsia" w:hAnsiTheme="minorHAnsi" w:cstheme="minorBidi"/>
      <w:szCs w:val="22"/>
    </w:rPr>
  </w:style>
  <w:style w:type="character" w:customStyle="1" w:styleId="Char">
    <w:name w:val="页脚 Char"/>
    <w:basedOn w:val="a0"/>
    <w:link w:val="a6"/>
    <w:uiPriority w:val="99"/>
    <w:qFormat/>
    <w:rsid w:val="00C00A7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6C5FCE-33A5-4D4D-A89C-FE419002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10</Pages>
  <Words>916</Words>
  <Characters>5224</Characters>
  <Application>Microsoft Office Word</Application>
  <DocSecurity>0</DocSecurity>
  <Lines>43</Lines>
  <Paragraphs>12</Paragraphs>
  <ScaleCrop>false</ScaleCrop>
  <Company>微软中国</Company>
  <LinksUpToDate>false</LinksUpToDate>
  <CharactersWithSpaces>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2012年科研工作总结及2013年度工作计划</dc:title>
  <dc:creator>Chinese User</dc:creator>
  <cp:lastModifiedBy>Administrator</cp:lastModifiedBy>
  <cp:revision>34</cp:revision>
  <cp:lastPrinted>2018-12-14T06:25:00Z</cp:lastPrinted>
  <dcterms:created xsi:type="dcterms:W3CDTF">2018-12-13T13:58:00Z</dcterms:created>
  <dcterms:modified xsi:type="dcterms:W3CDTF">2018-12-25T09:58:00Z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