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宋体" w:hAnsi="宋体"/>
          <w:b/>
          <w:sz w:val="44"/>
          <w:szCs w:val="44"/>
        </w:rPr>
      </w:pPr>
      <w:bookmarkStart w:id="2" w:name="_GoBack"/>
      <w:r>
        <w:rPr>
          <w:rFonts w:hint="eastAsia" w:ascii="宋体" w:hAnsi="宋体"/>
          <w:b/>
          <w:sz w:val="44"/>
          <w:szCs w:val="44"/>
          <w:lang w:val="en-US" w:eastAsia="zh-CN"/>
        </w:rPr>
        <w:t>2016年度</w:t>
      </w:r>
      <w:r>
        <w:rPr>
          <w:rFonts w:hint="eastAsia" w:ascii="宋体" w:hAnsi="宋体"/>
          <w:b/>
          <w:sz w:val="44"/>
          <w:szCs w:val="44"/>
        </w:rPr>
        <w:t>述职述廉报告</w:t>
      </w:r>
    </w:p>
    <w:bookmarkEnd w:id="2"/>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国际交流中心</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图书馆</w:t>
      </w:r>
      <w:r>
        <w:rPr>
          <w:rFonts w:hint="eastAsia" w:ascii="仿宋_GB2312" w:hAnsi="仿宋_GB2312" w:eastAsia="仿宋_GB2312" w:cs="仿宋_GB2312"/>
          <w:sz w:val="32"/>
          <w:szCs w:val="32"/>
          <w:lang w:val="en-US" w:eastAsia="zh-CN"/>
        </w:rPr>
        <w:t xml:space="preserve">  王胜利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hAnsi="Batang" w:eastAsia="仿宋_GB2312"/>
          <w:bCs/>
          <w:sz w:val="32"/>
          <w:szCs w:val="32"/>
        </w:rPr>
      </w:pP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textAlignment w:val="auto"/>
        <w:outlineLvl w:val="9"/>
        <w:rPr>
          <w:rFonts w:ascii="仿宋_GB2312" w:eastAsia="仿宋_GB2312"/>
          <w:color w:val="000000"/>
          <w:spacing w:val="15"/>
          <w:sz w:val="32"/>
          <w:szCs w:val="32"/>
        </w:rPr>
      </w:pPr>
      <w:r>
        <w:rPr>
          <w:rFonts w:hint="eastAsia" w:ascii="仿宋_GB2312" w:eastAsia="仿宋_GB2312"/>
          <w:color w:val="000000"/>
          <w:spacing w:val="15"/>
          <w:sz w:val="32"/>
          <w:szCs w:val="32"/>
        </w:rPr>
        <w:t>　</w:t>
      </w:r>
      <w:r>
        <w:rPr>
          <w:rStyle w:val="8"/>
          <w:rFonts w:hint="eastAsia" w:ascii="仿宋_GB2312" w:eastAsia="仿宋_GB2312"/>
          <w:color w:val="000000"/>
          <w:spacing w:val="15"/>
          <w:sz w:val="32"/>
          <w:szCs w:val="32"/>
        </w:rPr>
        <w:t>　一、 学习和思想方面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r>
        <w:rPr>
          <w:rFonts w:hint="eastAsia" w:ascii="仿宋" w:hAnsi="仿宋" w:eastAsia="仿宋" w:cs="仿宋"/>
          <w:b/>
          <w:sz w:val="32"/>
          <w:szCs w:val="32"/>
        </w:rPr>
        <w:t>深入学习宣传十八大文件和十八届四中、五中、六中全会决议，群众路线教育、三严三实、解放思想大讨论和把纪律和规矩挺在前面等精神，全面把握深化改革的理论体系，用党的文件精神指导工作，不断提高政治素养和党性觉悟，充分发挥党员干部的先锋模范作用严于律己、宽厚待人、工作严谨认真，</w:t>
      </w:r>
      <w:r>
        <w:rPr>
          <w:rFonts w:ascii="仿宋" w:hAnsi="仿宋" w:eastAsia="仿宋" w:cs="仿宋"/>
          <w:b/>
          <w:sz w:val="32"/>
          <w:szCs w:val="32"/>
        </w:rPr>
        <w:t>敬业奉献</w:t>
      </w:r>
      <w:r>
        <w:rPr>
          <w:rFonts w:hint="eastAsia" w:ascii="仿宋" w:hAnsi="仿宋" w:eastAsia="仿宋" w:cs="仿宋"/>
          <w:b/>
          <w:sz w:val="32"/>
          <w:szCs w:val="32"/>
        </w:rPr>
        <w:t>，富有大局意识，能摆正自己同组织、同事的关系，诚恳待人，团结中外员工。通过认真学习、实践调研等途径，夯实业务知识基础，拓展思维、开阔眼界，站在中国文化推广和孔子学院各项教育改革的高度，审视孔子学院的工作，推动孔子学院的教学改革与发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ascii="仿宋_GB2312" w:hAnsi="仿宋" w:eastAsia="仿宋_GB2312"/>
          <w:b/>
          <w:sz w:val="32"/>
          <w:szCs w:val="32"/>
        </w:rPr>
      </w:pPr>
      <w:r>
        <w:rPr>
          <w:rFonts w:hint="eastAsia" w:ascii="仿宋_GB2312" w:hAnsi="仿宋" w:eastAsia="仿宋_GB2312"/>
          <w:b/>
          <w:sz w:val="32"/>
          <w:szCs w:val="32"/>
        </w:rPr>
        <w:t>二、工作实绩方面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r>
        <w:rPr>
          <w:rFonts w:hint="eastAsia" w:ascii="仿宋" w:hAnsi="仿宋" w:eastAsia="仿宋" w:cs="仿宋"/>
          <w:b/>
          <w:sz w:val="32"/>
          <w:szCs w:val="32"/>
        </w:rPr>
        <w:t>1．汉语教学方面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hint="eastAsia" w:ascii="仿宋" w:hAnsi="仿宋" w:eastAsia="仿宋" w:cs="仿宋"/>
          <w:b/>
          <w:sz w:val="32"/>
          <w:szCs w:val="32"/>
        </w:rPr>
      </w:pPr>
      <w:r>
        <w:rPr>
          <w:rFonts w:hint="eastAsia" w:ascii="仿宋" w:hAnsi="仿宋" w:eastAsia="仿宋" w:cs="仿宋"/>
          <w:b/>
          <w:sz w:val="32"/>
          <w:szCs w:val="32"/>
        </w:rPr>
        <w:t>加德满都大学孔子学院下设4所孔子课堂和14个教学点，2016年开办本科生汉语必修课和选修课、研究生汉语选修课、成人汉语培训班、本土汉语师资培训班、中小学汉语课等不同层次的课程，同时开办旅游汉语班等专业汉语课程。孔子学院目前是汉语水平考试（HSK）、汉语水平口语考试（HSKK）、中小学生汉语考试（YCT）考点。</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hint="eastAsia" w:ascii="仿宋" w:hAnsi="仿宋" w:eastAsia="仿宋" w:cs="仿宋"/>
          <w:b/>
          <w:sz w:val="32"/>
          <w:szCs w:val="32"/>
        </w:rPr>
      </w:pPr>
      <w:r>
        <w:rPr>
          <w:rFonts w:hint="eastAsia" w:ascii="仿宋" w:hAnsi="仿宋" w:eastAsia="仿宋" w:cs="仿宋"/>
          <w:b/>
          <w:sz w:val="32"/>
          <w:szCs w:val="32"/>
        </w:rPr>
        <w:t>适应尼泊尔汉语学习需求，孔子学院编写了中尼双语版的本土教材《尼泊尔常用汉语》（社会生活篇上、下册）。2016年孔子学院在加德满都大学开办了2+2汉语师范专业（2年在尼泊尔，2年在河北经贸大学），第一届招收30名学生。</w:t>
      </w:r>
      <w:r>
        <w:rPr>
          <w:rFonts w:ascii="仿宋" w:hAnsi="仿宋" w:eastAsia="仿宋" w:cs="仿宋"/>
          <w:b/>
          <w:sz w:val="32"/>
          <w:szCs w:val="32"/>
        </w:rPr>
        <w:t>第</w:t>
      </w:r>
      <w:r>
        <w:rPr>
          <w:rFonts w:hint="eastAsia" w:ascii="仿宋" w:hAnsi="仿宋" w:eastAsia="仿宋" w:cs="仿宋"/>
          <w:b/>
          <w:sz w:val="32"/>
          <w:szCs w:val="32"/>
        </w:rPr>
        <w:t>二</w:t>
      </w:r>
      <w:r>
        <w:rPr>
          <w:rFonts w:ascii="仿宋" w:hAnsi="仿宋" w:eastAsia="仿宋" w:cs="仿宋"/>
          <w:b/>
          <w:sz w:val="32"/>
          <w:szCs w:val="32"/>
        </w:rPr>
        <w:t>届尼军总部初级汉语班开课，有30多位尼泊尔军队年轻军官参加了汉语班。尼泊尔旅游人才汉语班招收了</w:t>
      </w:r>
      <w:r>
        <w:rPr>
          <w:rFonts w:hint="eastAsia" w:ascii="仿宋" w:hAnsi="仿宋" w:eastAsia="仿宋" w:cs="仿宋"/>
          <w:b/>
          <w:sz w:val="32"/>
          <w:szCs w:val="32"/>
        </w:rPr>
        <w:t>尼泊尔文化旅游部官员、移民局官员、旅游公司经理、职业导游等40名学员。</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hint="eastAsia" w:ascii="仿宋" w:hAnsi="仿宋" w:eastAsia="仿宋" w:cs="仿宋"/>
          <w:b/>
          <w:sz w:val="32"/>
          <w:szCs w:val="32"/>
        </w:rPr>
      </w:pPr>
      <w:r>
        <w:rPr>
          <w:rFonts w:hint="eastAsia" w:ascii="仿宋" w:hAnsi="仿宋" w:eastAsia="仿宋" w:cs="仿宋"/>
          <w:b/>
          <w:sz w:val="32"/>
          <w:szCs w:val="32"/>
        </w:rPr>
        <w:t>2. 文化活动方面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r>
        <w:rPr>
          <w:rFonts w:hint="eastAsia" w:ascii="仿宋" w:hAnsi="仿宋" w:eastAsia="仿宋" w:cs="仿宋"/>
          <w:b/>
          <w:sz w:val="32"/>
          <w:szCs w:val="32"/>
        </w:rPr>
        <w:t>孔子学院在致力于汉语教学的同时，积极开展文化项目。多次举办中国文化节、组织演出活动、文化讲座、研讨会、及各类汉语比赛。在各类文化活动中曾邀请尼泊尔教育部长、中国驻尼泊尔大使、尼泊尔军队公共关系局局长、考古局长、中尼各友好协会主席等参加。2016年孔子学院在尼泊尔电视台和网上同步播出《电视初级汉语》，辐射尼泊尔和南亚。续集《导游汉语》已经拍摄完毕，即将在尼泊尔电视台播出。由孔子学院主办的尼泊尔“中国好声音”中文歌唱比赛也将在电视台播出，中国新任驻尼泊尔大使于红阁下出席决赛。</w:t>
      </w:r>
      <w:bookmarkStart w:id="0" w:name="OLE_LINK1"/>
      <w:bookmarkStart w:id="1" w:name="OLE_LINK2"/>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hint="eastAsia" w:ascii="仿宋" w:hAnsi="仿宋" w:eastAsia="仿宋" w:cs="仿宋"/>
          <w:b/>
          <w:sz w:val="32"/>
          <w:szCs w:val="32"/>
        </w:rPr>
      </w:pPr>
      <w:r>
        <w:rPr>
          <w:rFonts w:hint="eastAsia" w:ascii="仿宋" w:hAnsi="仿宋" w:eastAsia="仿宋" w:cs="仿宋"/>
          <w:b/>
          <w:sz w:val="32"/>
          <w:szCs w:val="32"/>
        </w:rPr>
        <w:t>2016年孔子学院有20名学生参加赴华夏令营， 11名孔子课堂和教学点校长赴中国考察。河北经贸大学副校长武义青率团赴加德满都大学进行讲座和交流，通过孔子学院，中外方合作交流机制更加顺畅。</w:t>
      </w:r>
      <w:r>
        <w:rPr>
          <w:rFonts w:ascii="仿宋" w:hAnsi="仿宋" w:eastAsia="仿宋" w:cs="仿宋"/>
          <w:b/>
          <w:sz w:val="32"/>
          <w:szCs w:val="32"/>
        </w:rPr>
        <w:t>尼泊尔军队总部汉语班开班和结业典礼新闻经尼泊尔当地电视台报道；</w:t>
      </w:r>
      <w:r>
        <w:rPr>
          <w:rFonts w:hint="eastAsia" w:ascii="仿宋" w:hAnsi="仿宋" w:eastAsia="仿宋" w:cs="仿宋"/>
          <w:b/>
          <w:sz w:val="32"/>
          <w:szCs w:val="32"/>
        </w:rPr>
        <w:t>汉语桥比赛、中尼建交60周年图片展</w:t>
      </w:r>
      <w:r>
        <w:rPr>
          <w:rFonts w:ascii="仿宋" w:hAnsi="仿宋" w:eastAsia="仿宋" w:cs="仿宋"/>
          <w:b/>
          <w:sz w:val="32"/>
          <w:szCs w:val="32"/>
        </w:rPr>
        <w:t>等经</w:t>
      </w:r>
      <w:r>
        <w:rPr>
          <w:rFonts w:hint="eastAsia" w:ascii="仿宋" w:hAnsi="仿宋" w:eastAsia="仿宋" w:cs="仿宋"/>
          <w:b/>
          <w:sz w:val="32"/>
          <w:szCs w:val="32"/>
        </w:rPr>
        <w:t>新华网、</w:t>
      </w:r>
      <w:r>
        <w:rPr>
          <w:rFonts w:ascii="仿宋" w:hAnsi="仿宋" w:eastAsia="仿宋" w:cs="仿宋"/>
          <w:b/>
          <w:sz w:val="32"/>
          <w:szCs w:val="32"/>
        </w:rPr>
        <w:t>中新网等媒体报道。</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hint="eastAsia" w:ascii="仿宋" w:hAnsi="仿宋" w:eastAsia="仿宋" w:cs="仿宋"/>
          <w:b/>
          <w:sz w:val="32"/>
          <w:szCs w:val="32"/>
        </w:rPr>
      </w:pPr>
      <w:r>
        <w:rPr>
          <w:rFonts w:hint="eastAsia" w:ascii="仿宋" w:hAnsi="仿宋" w:eastAsia="仿宋" w:cs="仿宋"/>
          <w:b/>
          <w:sz w:val="32"/>
          <w:szCs w:val="32"/>
        </w:rPr>
        <w:t>受孔子学院总部邀请本人在第十一届孔子学院大会“院长论坛”上做题为《孔子学院资源共享的博弈分析与对策》的发言，汇报我校和孔子学院的先进经验。</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hint="eastAsia" w:ascii="仿宋" w:hAnsi="仿宋" w:eastAsia="仿宋" w:cs="仿宋"/>
          <w:b/>
          <w:sz w:val="32"/>
          <w:szCs w:val="32"/>
        </w:rPr>
      </w:pPr>
      <w:r>
        <w:rPr>
          <w:rFonts w:hint="eastAsia" w:ascii="仿宋" w:hAnsi="仿宋" w:eastAsia="仿宋" w:cs="仿宋"/>
          <w:b/>
          <w:sz w:val="32"/>
          <w:szCs w:val="32"/>
        </w:rPr>
        <w:t>3. 教学设施和设备方面</w:t>
      </w:r>
    </w:p>
    <w:bookmarkEnd w:id="0"/>
    <w:bookmarkEnd w:id="1"/>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hint="eastAsia" w:ascii="仿宋" w:hAnsi="仿宋" w:eastAsia="仿宋" w:cs="仿宋"/>
          <w:b/>
          <w:sz w:val="32"/>
          <w:szCs w:val="32"/>
        </w:rPr>
      </w:pPr>
      <w:r>
        <w:rPr>
          <w:rFonts w:hint="eastAsia" w:ascii="仿宋" w:hAnsi="仿宋" w:eastAsia="仿宋" w:cs="仿宋"/>
          <w:b/>
          <w:sz w:val="32"/>
          <w:szCs w:val="32"/>
        </w:rPr>
        <w:t>外方支持孔子学院场地扩大 。今年8月孔子学院新办公室启用，目前使用单独一层，面积较原来扩大3倍。另外在加德满都大学总部还有一座有14间教室的教学楼准备装修后给孔子学院使用。由商务部援建的孔子学院大楼已经进入可行性研究阶段。</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r>
        <w:rPr>
          <w:rFonts w:hint="eastAsia" w:ascii="仿宋" w:hAnsi="仿宋" w:eastAsia="仿宋" w:cs="仿宋"/>
          <w:b/>
          <w:sz w:val="32"/>
          <w:szCs w:val="32"/>
        </w:rPr>
        <w:t>4. 中外方合作方面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hint="eastAsia" w:ascii="仿宋" w:hAnsi="仿宋" w:eastAsia="仿宋" w:cs="仿宋"/>
          <w:b/>
          <w:sz w:val="32"/>
          <w:szCs w:val="32"/>
        </w:rPr>
      </w:pPr>
      <w:r>
        <w:rPr>
          <w:rFonts w:hint="eastAsia" w:ascii="仿宋" w:hAnsi="仿宋" w:eastAsia="仿宋" w:cs="仿宋"/>
          <w:b/>
          <w:sz w:val="32"/>
          <w:szCs w:val="32"/>
        </w:rPr>
        <w:t>（1）与汉办和两校合作协议完成签署。经过九年多的发展，两校合作机制顺畅，成果丰硕，河北经贸大学和加德满都大学在孔子学院总部和加德满都大学已经签订《关于合作建设加德满都大学孔子学院的协议》的基础上，签订了新的执行协议，为孔子学院的可持续发展打好基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r>
        <w:rPr>
          <w:rFonts w:hint="eastAsia" w:ascii="仿宋" w:hAnsi="仿宋" w:eastAsia="仿宋" w:cs="仿宋"/>
          <w:b/>
          <w:sz w:val="32"/>
          <w:szCs w:val="32"/>
        </w:rPr>
        <w:t>（2）两校共建汉语师范专业。目前加德满都大学汉语师范专业本科招生并入学，本届30名学员在尼泊尔完成一年学习后，将在第二、三学年赴河北经贸大学学习。这是南亚首个与汉办合作开办的本土汉语师范专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r>
        <w:rPr>
          <w:rFonts w:hint="eastAsia" w:ascii="仿宋" w:hAnsi="仿宋" w:eastAsia="仿宋" w:cs="仿宋"/>
          <w:b/>
          <w:sz w:val="32"/>
          <w:szCs w:val="32"/>
        </w:rPr>
        <w:t>（3）河北经贸大学代表团访尼。7月份由河北经贸大学武义青副校长带队对加德满都大学进行了访问交流并在加德满都大学和中国驻尼使馆做报告。</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r>
        <w:rPr>
          <w:rFonts w:hint="eastAsia" w:ascii="仿宋" w:hAnsi="仿宋" w:eastAsia="仿宋" w:cs="仿宋"/>
          <w:b/>
          <w:sz w:val="32"/>
          <w:szCs w:val="32"/>
        </w:rPr>
        <w:t>5. 总部重点项目落实情况</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r>
        <w:rPr>
          <w:rFonts w:hint="eastAsia" w:ascii="仿宋" w:hAnsi="仿宋" w:eastAsia="仿宋" w:cs="仿宋"/>
          <w:b/>
          <w:sz w:val="32"/>
          <w:szCs w:val="32"/>
        </w:rPr>
        <w:t>推送1名总部奖学金学员赴北京语言大学留学攻读博士学位。孔子学院有200多名学员获得孔子学院总部奖学金赴中国留学，4名学员由孔子学院推荐获得政府奖学金进入中国高校攻读硕士学位。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ascii="仿宋_GB2312" w:hAnsi="仿宋" w:eastAsia="仿宋_GB2312"/>
          <w:b/>
          <w:sz w:val="32"/>
          <w:szCs w:val="32"/>
        </w:rPr>
      </w:pPr>
      <w:r>
        <w:rPr>
          <w:rFonts w:hint="eastAsia" w:ascii="仿宋_GB2312" w:hAnsi="仿宋" w:eastAsia="仿宋_GB2312"/>
          <w:b/>
          <w:sz w:val="32"/>
          <w:szCs w:val="32"/>
        </w:rPr>
        <w:t>三、廉政方面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hint="eastAsia" w:ascii="仿宋" w:hAnsi="仿宋" w:eastAsia="仿宋" w:cs="仿宋"/>
          <w:b/>
          <w:sz w:val="32"/>
          <w:szCs w:val="32"/>
        </w:rPr>
      </w:pPr>
      <w:r>
        <w:rPr>
          <w:rFonts w:hint="eastAsia" w:ascii="仿宋" w:hAnsi="仿宋" w:eastAsia="仿宋" w:cs="仿宋"/>
          <w:b/>
          <w:sz w:val="32"/>
          <w:szCs w:val="32"/>
        </w:rPr>
        <w:t>充分认识新时期党风廉政建设的重要性。旗帜鲜明、毫不动摇地坚持党风廉政建设，严格遵守中央提出的反对四风，廉洁自律的八项规定，认真学习贯彻《党内监督条例》和《纪律处分条例》两个法规，从思想上做到法律、自律和他律。以身作则，工作生活中做到，明明白白做人，清清白白做事，真正做到自重、自警、自励，防微杜渐，经得起考验。在制度框架下，研究工作、沟通思想，讨论问题，自觉接受领导和同志们的监督，真正做到理想信念不动摇，大是大非不糊涂，党性原则不丧失。与同事共事和外方合作中坚持以诚相待，团结互助，取长补短。</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hint="eastAsia" w:ascii="仿宋" w:hAnsi="仿宋" w:eastAsia="仿宋" w:cs="仿宋"/>
          <w:b/>
          <w:sz w:val="32"/>
          <w:szCs w:val="32"/>
        </w:rPr>
      </w:pPr>
      <w:r>
        <w:rPr>
          <w:rFonts w:hint="eastAsia" w:ascii="仿宋" w:hAnsi="仿宋" w:eastAsia="仿宋" w:cs="仿宋"/>
          <w:b/>
          <w:sz w:val="32"/>
          <w:szCs w:val="32"/>
        </w:rPr>
        <w:t>新的一年就要开始了，我将以饱满的热情，创新工作理念，使孔子学院工作更上新台阶。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0" w:firstLineChars="247"/>
        <w:textAlignment w:val="auto"/>
        <w:outlineLvl w:val="9"/>
        <w:rPr>
          <w:rFonts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r>
        <w:rPr>
          <w:rFonts w:hint="eastAsia" w:ascii="仿宋" w:hAnsi="仿宋" w:eastAsia="仿宋" w:cs="仿宋"/>
          <w:b/>
          <w:sz w:val="32"/>
          <w:szCs w:val="32"/>
        </w:rPr>
        <w:t xml:space="preserve">                                    王胜利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r>
        <w:rPr>
          <w:rFonts w:hint="eastAsia" w:ascii="仿宋" w:hAnsi="仿宋" w:eastAsia="仿宋" w:cs="仿宋"/>
          <w:b/>
          <w:sz w:val="32"/>
          <w:szCs w:val="32"/>
        </w:rPr>
        <w:t xml:space="preserve">                               2016年12月14日</w:t>
      </w:r>
    </w:p>
    <w:sectPr>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楷体">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232A"/>
    <w:rsid w:val="00084926"/>
    <w:rsid w:val="000C49D4"/>
    <w:rsid w:val="000D3F13"/>
    <w:rsid w:val="001071A6"/>
    <w:rsid w:val="00123D13"/>
    <w:rsid w:val="00132278"/>
    <w:rsid w:val="00135A29"/>
    <w:rsid w:val="00140AB6"/>
    <w:rsid w:val="0016650F"/>
    <w:rsid w:val="00167FAD"/>
    <w:rsid w:val="001C0E7D"/>
    <w:rsid w:val="001F0FCC"/>
    <w:rsid w:val="00224CDC"/>
    <w:rsid w:val="00240FFE"/>
    <w:rsid w:val="00263C0A"/>
    <w:rsid w:val="00265385"/>
    <w:rsid w:val="002B4EDB"/>
    <w:rsid w:val="002C0E00"/>
    <w:rsid w:val="00312337"/>
    <w:rsid w:val="00330CA5"/>
    <w:rsid w:val="003339E5"/>
    <w:rsid w:val="00343700"/>
    <w:rsid w:val="00361996"/>
    <w:rsid w:val="00365D5E"/>
    <w:rsid w:val="003A1E50"/>
    <w:rsid w:val="003F4D98"/>
    <w:rsid w:val="00405021"/>
    <w:rsid w:val="00413E0F"/>
    <w:rsid w:val="004428C5"/>
    <w:rsid w:val="004B2C7A"/>
    <w:rsid w:val="004D3A58"/>
    <w:rsid w:val="004F2C56"/>
    <w:rsid w:val="004F437D"/>
    <w:rsid w:val="005238DF"/>
    <w:rsid w:val="00544BDE"/>
    <w:rsid w:val="00576AEF"/>
    <w:rsid w:val="005817E0"/>
    <w:rsid w:val="005F4668"/>
    <w:rsid w:val="00626BE2"/>
    <w:rsid w:val="00635816"/>
    <w:rsid w:val="006500F3"/>
    <w:rsid w:val="006A0E02"/>
    <w:rsid w:val="006A3E68"/>
    <w:rsid w:val="006A5B12"/>
    <w:rsid w:val="006B63FE"/>
    <w:rsid w:val="006E51B9"/>
    <w:rsid w:val="00725296"/>
    <w:rsid w:val="0077108E"/>
    <w:rsid w:val="00793142"/>
    <w:rsid w:val="00796F69"/>
    <w:rsid w:val="007C1537"/>
    <w:rsid w:val="007D00D2"/>
    <w:rsid w:val="008235F4"/>
    <w:rsid w:val="008B36C2"/>
    <w:rsid w:val="008D421C"/>
    <w:rsid w:val="008E1527"/>
    <w:rsid w:val="008E62A2"/>
    <w:rsid w:val="00906937"/>
    <w:rsid w:val="00944C73"/>
    <w:rsid w:val="00953498"/>
    <w:rsid w:val="00971671"/>
    <w:rsid w:val="00990139"/>
    <w:rsid w:val="009C1408"/>
    <w:rsid w:val="009D0AEE"/>
    <w:rsid w:val="009F51F1"/>
    <w:rsid w:val="00A46ED2"/>
    <w:rsid w:val="00A6357F"/>
    <w:rsid w:val="00A63EFF"/>
    <w:rsid w:val="00A8505E"/>
    <w:rsid w:val="00AB0AA6"/>
    <w:rsid w:val="00AC270B"/>
    <w:rsid w:val="00B10D5B"/>
    <w:rsid w:val="00B513F8"/>
    <w:rsid w:val="00B53F01"/>
    <w:rsid w:val="00BD5595"/>
    <w:rsid w:val="00C27B78"/>
    <w:rsid w:val="00C83D70"/>
    <w:rsid w:val="00CF232A"/>
    <w:rsid w:val="00D222A9"/>
    <w:rsid w:val="00D657C0"/>
    <w:rsid w:val="00D82EF9"/>
    <w:rsid w:val="00D851F8"/>
    <w:rsid w:val="00D93353"/>
    <w:rsid w:val="00D9449A"/>
    <w:rsid w:val="00DF1140"/>
    <w:rsid w:val="00E254F2"/>
    <w:rsid w:val="00E40CB2"/>
    <w:rsid w:val="00E476ED"/>
    <w:rsid w:val="00E53B71"/>
    <w:rsid w:val="00E57449"/>
    <w:rsid w:val="00E57A4D"/>
    <w:rsid w:val="00E749A4"/>
    <w:rsid w:val="00EC5D55"/>
    <w:rsid w:val="00ED7457"/>
    <w:rsid w:val="00EE6C8D"/>
    <w:rsid w:val="00F3630E"/>
    <w:rsid w:val="00F55D6C"/>
    <w:rsid w:val="00F73CF6"/>
    <w:rsid w:val="00F85518"/>
    <w:rsid w:val="00FA2D1F"/>
    <w:rsid w:val="00FD56DB"/>
    <w:rsid w:val="3AAF253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2"/>
    <w:qFormat/>
    <w:uiPriority w:val="0"/>
    <w:pPr>
      <w:keepNext/>
      <w:keepLines/>
      <w:spacing w:before="260" w:after="260" w:line="416" w:lineRule="auto"/>
      <w:outlineLvl w:val="2"/>
    </w:pPr>
    <w:rPr>
      <w:b/>
      <w:bCs/>
      <w:sz w:val="32"/>
      <w:szCs w:val="32"/>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semiHidden/>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character" w:styleId="9">
    <w:name w:val="Hyperlink"/>
    <w:basedOn w:val="7"/>
    <w:uiPriority w:val="0"/>
    <w:rPr>
      <w:color w:val="0000FF"/>
      <w:u w:val="single"/>
    </w:rPr>
  </w:style>
  <w:style w:type="paragraph" w:customStyle="1" w:styleId="11">
    <w:name w:val="Char Char Char Char Char Char1 Char"/>
    <w:basedOn w:val="1"/>
    <w:uiPriority w:val="0"/>
    <w:pPr>
      <w:widowControl/>
      <w:spacing w:after="160" w:line="240" w:lineRule="exact"/>
      <w:jc w:val="left"/>
    </w:pPr>
    <w:rPr>
      <w:rFonts w:ascii="Arial" w:hAnsi="Arial" w:eastAsia="Times New Roman" w:cs="Verdana"/>
      <w:b/>
      <w:kern w:val="0"/>
      <w:sz w:val="24"/>
      <w:lang w:eastAsia="en-US"/>
    </w:rPr>
  </w:style>
  <w:style w:type="character" w:customStyle="1" w:styleId="12">
    <w:name w:val="标题 3 Char"/>
    <w:basedOn w:val="7"/>
    <w:link w:val="2"/>
    <w:qFormat/>
    <w:uiPriority w:val="0"/>
    <w:rPr>
      <w:rFonts w:eastAsia="宋体"/>
      <w:b/>
      <w:bCs/>
      <w:kern w:val="2"/>
      <w:sz w:val="32"/>
      <w:szCs w:val="32"/>
      <w:lang w:val="en-US" w:eastAsia="zh-CN" w:bidi="ar-SA"/>
    </w:rPr>
  </w:style>
  <w:style w:type="paragraph" w:customStyle="1" w:styleId="13">
    <w:name w:val="普通(网站)1"/>
    <w:basedOn w:val="1"/>
    <w:uiPriority w:val="0"/>
    <w:pPr>
      <w:spacing w:before="100" w:beforeAutospacing="1" w:after="100" w:afterAutospacing="1"/>
    </w:pPr>
    <w:rPr>
      <w:rFonts w:ascii="宋体" w:hAnsi="宋体" w:cs="宋体"/>
      <w:sz w:val="24"/>
    </w:rPr>
  </w:style>
  <w:style w:type="character" w:customStyle="1" w:styleId="14">
    <w:name w:val="页眉 Char"/>
    <w:basedOn w:val="7"/>
    <w:link w:val="5"/>
    <w:uiPriority w:val="0"/>
    <w:rPr>
      <w:kern w:val="2"/>
      <w:sz w:val="18"/>
      <w:szCs w:val="18"/>
    </w:rPr>
  </w:style>
  <w:style w:type="character" w:customStyle="1" w:styleId="15">
    <w:name w:val="页脚 Char"/>
    <w:basedOn w:val="7"/>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304</Words>
  <Characters>1737</Characters>
  <Lines>14</Lines>
  <Paragraphs>4</Paragraphs>
  <TotalTime>0</TotalTime>
  <ScaleCrop>false</ScaleCrop>
  <LinksUpToDate>false</LinksUpToDate>
  <CharactersWithSpaces>2037</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2016-12-14T04:02:00Z</dcterms:created>
  <dc:creator>微软用户</dc:creator>
  <cp:lastModifiedBy>l</cp:lastModifiedBy>
  <cp:lastPrinted>2014-12-20T08:51:00Z</cp:lastPrinted>
  <dcterms:modified xsi:type="dcterms:W3CDTF">2016-12-15T08:43:25Z</dcterms:modified>
  <dc:title>述职报告</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