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cs="宋体" w:asciiTheme="minorEastAsia" w:hAnsiTheme="minorEastAsia" w:eastAsiaTheme="minorEastAsia"/>
          <w:b/>
          <w:color w:val="000000"/>
          <w:kern w:val="0"/>
          <w:sz w:val="44"/>
          <w:szCs w:val="44"/>
        </w:rPr>
      </w:pPr>
      <w:bookmarkStart w:id="0" w:name="_GoBack"/>
      <w:r>
        <w:rPr>
          <w:rFonts w:hint="eastAsia" w:cs="宋体" w:asciiTheme="minorEastAsia" w:hAnsiTheme="minorEastAsia" w:eastAsiaTheme="minorEastAsia"/>
          <w:b/>
          <w:color w:val="000000"/>
          <w:kern w:val="0"/>
          <w:sz w:val="44"/>
          <w:szCs w:val="44"/>
          <w:lang w:val="en-US" w:eastAsia="zh-CN"/>
        </w:rPr>
        <w:t>2016年度</w:t>
      </w:r>
      <w:r>
        <w:rPr>
          <w:rFonts w:hint="eastAsia" w:cs="宋体" w:asciiTheme="minorEastAsia" w:hAnsiTheme="minorEastAsia" w:eastAsiaTheme="minorEastAsia"/>
          <w:b/>
          <w:color w:val="000000"/>
          <w:kern w:val="0"/>
          <w:sz w:val="44"/>
          <w:szCs w:val="44"/>
        </w:rPr>
        <w:t>述职述廉报告</w:t>
      </w:r>
    </w:p>
    <w:bookmarkEnd w:id="0"/>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jc w:val="center"/>
        <w:textAlignment w:val="auto"/>
        <w:outlineLvl w:val="9"/>
        <w:rPr>
          <w:rFonts w:ascii="仿宋_GB2312" w:hAnsi="仿宋" w:eastAsia="仿宋_GB2312"/>
          <w:sz w:val="32"/>
          <w:szCs w:val="32"/>
        </w:rPr>
      </w:pPr>
      <w:r>
        <w:rPr>
          <w:rFonts w:hint="eastAsia" w:ascii="仿宋_GB2312" w:hAnsi="仿宋" w:eastAsia="仿宋_GB2312"/>
          <w:sz w:val="32"/>
          <w:szCs w:val="32"/>
        </w:rPr>
        <w:t>教务处  孙立威</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sz w:val="32"/>
          <w:szCs w:val="32"/>
        </w:rPr>
      </w:pPr>
      <w:r>
        <w:rPr>
          <w:rFonts w:hint="eastAsia" w:ascii="仿宋_GB2312" w:hAnsi="仿宋" w:eastAsia="仿宋_GB2312"/>
          <w:sz w:val="32"/>
          <w:szCs w:val="32"/>
        </w:rPr>
        <w:t>在校党委的正确领导下，根据学校工作部署和本科教学工作安排，在协助处长分管的教务运行和实践教学管理等方面，进一步加强规范管理，努力推动改革创新，较好的完成了各项工作任务。现将一年来的履职情况汇报如下：</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420" w:firstLineChars="200"/>
        <w:textAlignment w:val="auto"/>
        <w:outlineLvl w:val="9"/>
        <w:rPr>
          <w:rFonts w:ascii="仿宋_GB2312" w:hAnsi="仿宋" w:eastAsia="仿宋_GB2312"/>
          <w:b/>
          <w:sz w:val="32"/>
          <w:szCs w:val="32"/>
        </w:rPr>
      </w:pPr>
      <w:r>
        <w:rPr>
          <w:rFonts w:hint="eastAsia" w:ascii="仿宋_GB2312" w:eastAsia="仿宋_GB2312"/>
        </w:rPr>
        <w:t xml:space="preserve">    </w:t>
      </w:r>
      <w:r>
        <w:rPr>
          <w:rFonts w:hint="eastAsia" w:ascii="仿宋_GB2312" w:hAnsi="仿宋" w:eastAsia="仿宋_GB2312"/>
          <w:b/>
          <w:sz w:val="32"/>
          <w:szCs w:val="32"/>
        </w:rPr>
        <w:t>一、“</w:t>
      </w:r>
      <w:r>
        <w:rPr>
          <w:rFonts w:hint="eastAsia" w:ascii="仿宋_GB2312" w:hAnsi="仿宋" w:eastAsia="仿宋_GB2312"/>
          <w:b/>
          <w:bCs/>
          <w:sz w:val="32"/>
          <w:szCs w:val="32"/>
        </w:rPr>
        <w:t>学</w:t>
      </w:r>
      <w:r>
        <w:rPr>
          <w:rFonts w:hint="eastAsia" w:ascii="仿宋_GB2312" w:hAnsi="仿宋" w:eastAsia="仿宋_GB2312"/>
          <w:b/>
          <w:sz w:val="32"/>
          <w:szCs w:val="32"/>
        </w:rPr>
        <w:t>”</w:t>
      </w:r>
      <w:r>
        <w:rPr>
          <w:rFonts w:hint="eastAsia" w:ascii="仿宋_GB2312" w:hAnsi="仿宋" w:eastAsia="仿宋_GB2312"/>
          <w:b/>
          <w:bCs/>
          <w:sz w:val="32"/>
          <w:szCs w:val="32"/>
        </w:rPr>
        <w:t>字在前</w:t>
      </w:r>
      <w:r>
        <w:rPr>
          <w:rFonts w:hint="eastAsia" w:ascii="仿宋_GB2312" w:hAnsi="仿宋" w:eastAsia="仿宋_GB2312"/>
          <w:b/>
          <w:sz w:val="32"/>
          <w:szCs w:val="32"/>
        </w:rPr>
        <w:t>，努力提高履职能力</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sz w:val="32"/>
          <w:szCs w:val="32"/>
        </w:rPr>
      </w:pPr>
      <w:r>
        <w:rPr>
          <w:rFonts w:hint="eastAsia" w:ascii="仿宋_GB2312" w:hAnsi="仿宋" w:eastAsia="仿宋_GB2312"/>
          <w:sz w:val="32"/>
          <w:szCs w:val="32"/>
        </w:rPr>
        <w:t>积极参加校党委组织的各项理论学习，努力学习领会党的十八大和十八届三中、四中、五中、六中全会精神，深入学习领会习近平总书记系列重要讲话精神，特别是关于高等教育的重要论述，牢固树立“四个意识”，贯彻执行党的路线方针政策。认真学习贯彻省九次党代会精神，根据校党委部署，团结带领分管科室的同志，开展“两学一做”，对照“</w:t>
      </w:r>
      <w:r>
        <w:rPr>
          <w:rFonts w:hint="eastAsia" w:ascii="仿宋_GB2312" w:hAnsi="仿宋" w:eastAsia="仿宋_GB2312"/>
          <w:bCs/>
          <w:sz w:val="32"/>
          <w:szCs w:val="32"/>
        </w:rPr>
        <w:t>三严三实</w:t>
      </w:r>
      <w:r>
        <w:rPr>
          <w:rFonts w:hint="eastAsia" w:ascii="仿宋_GB2312" w:hAnsi="仿宋" w:eastAsia="仿宋_GB2312"/>
          <w:sz w:val="32"/>
          <w:szCs w:val="32"/>
        </w:rPr>
        <w:t>”要求，自觉做到常学真改，融入日常，抓在经常。</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sz w:val="32"/>
          <w:szCs w:val="32"/>
        </w:rPr>
      </w:pPr>
      <w:r>
        <w:rPr>
          <w:rFonts w:hint="eastAsia" w:ascii="仿宋_GB2312" w:hAnsi="仿宋" w:eastAsia="仿宋_GB2312"/>
          <w:sz w:val="32"/>
          <w:szCs w:val="32"/>
        </w:rPr>
        <w:t>在加强政治理论学习的同时，加强了高等教育理论、创新创业教育、实践教学改革等方面学习，参加教育部“互联网+”与高等教育教学创新研修班和省教育厅关于创新创业教育、课程信息化改革等方面研讨培训，把握当前教学改革动态和趋势，学习改革成功经验，增强了自身素质，提高了个人履职能力。</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3" w:firstLineChars="200"/>
        <w:textAlignment w:val="auto"/>
        <w:outlineLvl w:val="9"/>
        <w:rPr>
          <w:rFonts w:ascii="仿宋_GB2312" w:eastAsia="仿宋_GB2312"/>
          <w:b/>
        </w:rPr>
      </w:pPr>
      <w:r>
        <w:rPr>
          <w:rFonts w:hint="eastAsia" w:ascii="仿宋_GB2312" w:hAnsi="仿宋" w:eastAsia="仿宋_GB2312"/>
          <w:b/>
          <w:sz w:val="32"/>
          <w:szCs w:val="32"/>
        </w:rPr>
        <w:t>二、“严”字当头，全力推进各项任务完成</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3" w:firstLineChars="200"/>
        <w:textAlignment w:val="auto"/>
        <w:outlineLvl w:val="9"/>
        <w:rPr>
          <w:rFonts w:ascii="仿宋_GB2312" w:hAnsi="仿宋" w:eastAsia="仿宋_GB2312"/>
          <w:b/>
          <w:sz w:val="32"/>
          <w:szCs w:val="32"/>
        </w:rPr>
      </w:pPr>
      <w:r>
        <w:rPr>
          <w:rFonts w:hint="eastAsia" w:ascii="仿宋_GB2312" w:hAnsi="仿宋" w:eastAsia="仿宋_GB2312"/>
          <w:b/>
          <w:sz w:val="32"/>
          <w:szCs w:val="32"/>
        </w:rPr>
        <w:t>（一）强化服务保障意识，实施高效教学运行管理。</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sz w:val="32"/>
          <w:szCs w:val="32"/>
        </w:rPr>
      </w:pPr>
      <w:r>
        <w:rPr>
          <w:rFonts w:hint="eastAsia" w:ascii="宋体" w:hAnsi="宋体" w:eastAsia="仿宋_GB2312" w:cs="宋体"/>
          <w:sz w:val="32"/>
          <w:szCs w:val="32"/>
        </w:rPr>
        <w:t> </w:t>
      </w:r>
      <w:r>
        <w:rPr>
          <w:rFonts w:hint="eastAsia" w:ascii="仿宋_GB2312" w:hAnsi="仿宋" w:eastAsia="仿宋_GB2312"/>
          <w:sz w:val="32"/>
          <w:szCs w:val="32"/>
        </w:rPr>
        <w:t>1.课程教学与考试。</w:t>
      </w:r>
      <w:r>
        <w:rPr>
          <w:rFonts w:hint="eastAsia" w:ascii="仿宋_GB2312" w:hAnsi="仿宋" w:eastAsia="仿宋_GB2312"/>
          <w:bCs/>
          <w:sz w:val="32"/>
          <w:szCs w:val="32"/>
        </w:rPr>
        <w:t>加强与各部门、各教学单位密切合作，周密部署，强化服务保障和巡查监督，</w:t>
      </w:r>
      <w:r>
        <w:rPr>
          <w:rFonts w:hint="eastAsia" w:ascii="仿宋_GB2312" w:hAnsi="仿宋" w:eastAsia="仿宋_GB2312"/>
          <w:sz w:val="32"/>
          <w:szCs w:val="32"/>
        </w:rPr>
        <w:t>保证教学工作有序运行。</w:t>
      </w:r>
      <w:r>
        <w:rPr>
          <w:rFonts w:hint="eastAsia" w:ascii="仿宋_GB2312" w:hAnsi="仿宋" w:eastAsia="仿宋_GB2312"/>
          <w:bCs/>
          <w:sz w:val="32"/>
          <w:szCs w:val="32"/>
        </w:rPr>
        <w:t>全年</w:t>
      </w:r>
      <w:r>
        <w:rPr>
          <w:rFonts w:hint="eastAsia" w:ascii="仿宋_GB2312" w:hAnsi="仿宋" w:eastAsia="仿宋_GB2312"/>
          <w:sz w:val="32"/>
          <w:szCs w:val="32"/>
        </w:rPr>
        <w:t>安排、落实1800余门课程教学任务，编制4000余个教学班的课程安排表，组织完成30多万人次选课；组织学期期末考试、补考缓考考试2100余场，涉及学生16.2万人次、主监考教师约4700人次、巡视人员近200人次，</w:t>
      </w:r>
      <w:r>
        <w:rPr>
          <w:rFonts w:hint="eastAsia" w:ascii="仿宋_GB2312" w:hAnsi="仿宋" w:eastAsia="仿宋_GB2312"/>
          <w:bCs/>
          <w:sz w:val="32"/>
          <w:szCs w:val="32"/>
        </w:rPr>
        <w:t>组织全国大学英语四、六级考试（含其他小语种考试）3.1万人次。</w:t>
      </w:r>
      <w:r>
        <w:rPr>
          <w:rFonts w:hint="eastAsia" w:ascii="仿宋_GB2312" w:hAnsi="仿宋" w:eastAsia="仿宋_GB2312"/>
          <w:sz w:val="32"/>
          <w:szCs w:val="32"/>
        </w:rPr>
        <w:t>修订《河北经贸大学运动队学生成绩管理办法》等成绩管理制度，规范考试与成绩管理。</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sz w:val="32"/>
          <w:szCs w:val="32"/>
        </w:rPr>
      </w:pPr>
      <w:r>
        <w:rPr>
          <w:rFonts w:hint="eastAsia" w:ascii="仿宋_GB2312" w:hAnsi="仿宋" w:eastAsia="仿宋_GB2312"/>
          <w:sz w:val="32"/>
          <w:szCs w:val="32"/>
        </w:rPr>
        <w:t>2.实习与毕业论文（设计）。印发《河北经贸大学教务处关于做好2016年本科生实习工作的通知》、《河北经贸大学教务处关于进一步规范毕业论文（设计）工作的通知》等文件，持续改进实习和毕业论文（设计）工作，组织完成全校学生实习及毕业班学生毕业设计（论文）教学工作。引进、试用毕业论文（设计）教学管理平台，完成约4600余毕业生的毕业论文入库，促进毕业设计教学及管理的信息化与规范化；</w:t>
      </w:r>
      <w:r>
        <w:rPr>
          <w:rFonts w:hint="eastAsia" w:ascii="仿宋_GB2312" w:hAnsi="仿宋" w:eastAsia="仿宋_GB2312"/>
          <w:bCs/>
          <w:sz w:val="32"/>
          <w:szCs w:val="32"/>
        </w:rPr>
        <w:t>进一步推广应用学术不端检测系统，组织各学院开展学生毕业设计（论文）抄袭普查，开展</w:t>
      </w:r>
      <w:r>
        <w:rPr>
          <w:rFonts w:hint="eastAsia" w:ascii="仿宋_GB2312" w:hAnsi="仿宋" w:eastAsia="仿宋_GB2312"/>
          <w:sz w:val="32"/>
          <w:szCs w:val="32"/>
        </w:rPr>
        <w:t>毕业论文校级抽查360篇，全校平均重复率较上年度下降10%，毕业论文质量进一步提高。</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sz w:val="32"/>
          <w:szCs w:val="32"/>
        </w:rPr>
      </w:pPr>
      <w:r>
        <w:rPr>
          <w:rFonts w:hint="eastAsia" w:ascii="仿宋_GB2312" w:hAnsi="仿宋" w:eastAsia="仿宋_GB2312"/>
          <w:sz w:val="32"/>
          <w:szCs w:val="32"/>
        </w:rPr>
        <w:t>3.教学信息化与安全保障。优化教务管理平台系统的运行管理和维护，研制虚拟机系统紊乱解决预案，坚持做好各项关键数据备份工作，及时解决突发问题，保障各系统安全、稳定和可靠运行。依托solaris服务器搭建教务数据仓库，初步实现底层支撑数据的自动抓取和部分应用分析。完成教务辅助系统的《平时成绩》等3个应用模块开发，实现平时成绩、学费缴纳、学生分层考试等信息与教务系统的无缝对接，方便师生教学。组织2016年河北经贸大学教学信息化大赛，评选校级优秀作品10项，并择优参加了第二十届全国教育教学信息化交流展示活动，获省级奖励3项。</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3" w:firstLineChars="200"/>
        <w:textAlignment w:val="auto"/>
        <w:outlineLvl w:val="9"/>
        <w:rPr>
          <w:rFonts w:ascii="仿宋_GB2312" w:hAnsi="仿宋" w:eastAsia="仿宋_GB2312"/>
          <w:b/>
          <w:sz w:val="32"/>
          <w:szCs w:val="32"/>
        </w:rPr>
      </w:pPr>
      <w:r>
        <w:rPr>
          <w:rFonts w:hint="eastAsia" w:ascii="仿宋_GB2312" w:hAnsi="仿宋" w:eastAsia="仿宋_GB2312"/>
          <w:b/>
          <w:sz w:val="32"/>
          <w:szCs w:val="32"/>
        </w:rPr>
        <w:t>（二）推进创新创业教育改革，提高学生创新实践能力。</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bCs/>
          <w:sz w:val="32"/>
          <w:szCs w:val="32"/>
        </w:rPr>
      </w:pPr>
      <w:r>
        <w:rPr>
          <w:rFonts w:hint="eastAsia" w:ascii="仿宋_GB2312" w:hAnsi="仿宋" w:eastAsia="仿宋_GB2312"/>
          <w:sz w:val="32"/>
          <w:szCs w:val="32"/>
        </w:rPr>
        <w:t>1.创新创业教育改革方案。加强顶层设计，以“提高学生创新精神、创业意识和创新创业精神”为主线，分步实施“六大工程”和“六项计划”，制定《河北经贸大学深化创新创业教育改革实施方案》，系统深化创新创业教育改革，学校获评为河北省首批“深化创新创业教育改革示范学校”。</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sz w:val="32"/>
          <w:szCs w:val="32"/>
        </w:rPr>
      </w:pPr>
      <w:r>
        <w:rPr>
          <w:rFonts w:hint="eastAsia" w:ascii="仿宋_GB2312" w:hAnsi="仿宋" w:eastAsia="仿宋_GB2312"/>
          <w:sz w:val="32"/>
          <w:szCs w:val="32"/>
        </w:rPr>
        <w:t>2.创新创业实践活动。开展大学生创新创业训练计划，设立校级项目130项，支持信息技术学院、旅游学院等多个学院首次设置院级项目，初步形成了“国-省-校-院”四级“大创”训练体系，进一步扩大受益面，参与项目学生近千人。加强项目管理，责令延期23项、终止项6个。项目总体质量进一步提升，2016年获批国家级项目25项、省级项目65项，较上一年度增幅均超六成；1项学生成果入选全国大学生创新创业年会，实现我校这一项目的历史突破。加强了学科竞赛的组织管理工作，支持学生参加国家级创新创业大赛，立项支持的52项竞赛，获省级以上奖项64项，其中金融学院学生的《乐校网》项目在国内赛事规格最高、参赛规模最大的“互联网+”大学生创新创业大赛中斩获铜奖，创造我校在该项大赛的历史最好成绩。会计学院代表队在两岸四地大学生财务会计与商业案例竞赛中蝉联总决赛金奖，创造参赛历史最好成绩。经济管理实验中心承办“学创杯”全国大学生创业综合模拟大赛园，首开承办大规模全国赛事先河。</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3" w:firstLineChars="200"/>
        <w:textAlignment w:val="auto"/>
        <w:outlineLvl w:val="9"/>
        <w:rPr>
          <w:rFonts w:ascii="仿宋_GB2312" w:hAnsi="仿宋" w:eastAsia="仿宋_GB2312"/>
          <w:b/>
          <w:sz w:val="32"/>
          <w:szCs w:val="32"/>
        </w:rPr>
      </w:pPr>
      <w:r>
        <w:rPr>
          <w:rFonts w:hint="eastAsia" w:ascii="仿宋_GB2312" w:hAnsi="仿宋" w:eastAsia="仿宋_GB2312"/>
          <w:b/>
          <w:sz w:val="32"/>
          <w:szCs w:val="32"/>
        </w:rPr>
        <w:t>（三）加强教学条件建设，完善实践教学管理。</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bCs/>
          <w:sz w:val="32"/>
          <w:szCs w:val="32"/>
        </w:rPr>
      </w:pPr>
      <w:r>
        <w:rPr>
          <w:rFonts w:hint="eastAsia" w:ascii="仿宋_GB2312" w:hAnsi="仿宋" w:eastAsia="仿宋_GB2312"/>
          <w:bCs/>
          <w:sz w:val="32"/>
          <w:szCs w:val="32"/>
        </w:rPr>
        <w:t>1.实验室建设。加大经费投入，统筹多渠道资金2300多万元，积极开展实验教学示范中心、虚拟仿真实验中心建设，重点推进了18个建设项目，进一步优化了实验设备，改善了实验条件。</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sz w:val="32"/>
          <w:szCs w:val="32"/>
        </w:rPr>
      </w:pPr>
      <w:r>
        <w:rPr>
          <w:rFonts w:hint="eastAsia" w:ascii="仿宋_GB2312" w:hAnsi="仿宋" w:eastAsia="仿宋_GB2312"/>
          <w:bCs/>
          <w:sz w:val="32"/>
          <w:szCs w:val="32"/>
        </w:rPr>
        <w:t>2.</w:t>
      </w:r>
      <w:r>
        <w:rPr>
          <w:rFonts w:hint="eastAsia" w:ascii="仿宋_GB2312" w:hAnsi="仿宋" w:eastAsia="仿宋_GB2312"/>
          <w:sz w:val="32"/>
          <w:szCs w:val="32"/>
        </w:rPr>
        <w:t>校外实践教育基地建设。加大校外实践基地建设力度，启动新一轮15个校级校外基地建设，拓展了校外实践资源。</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bCs/>
          <w:sz w:val="32"/>
          <w:szCs w:val="32"/>
        </w:rPr>
      </w:pPr>
      <w:r>
        <w:rPr>
          <w:rFonts w:hint="eastAsia" w:ascii="仿宋_GB2312" w:hAnsi="仿宋" w:eastAsia="仿宋_GB2312"/>
          <w:sz w:val="32"/>
          <w:szCs w:val="32"/>
        </w:rPr>
        <w:t>3.</w:t>
      </w:r>
      <w:r>
        <w:rPr>
          <w:rFonts w:hint="eastAsia" w:ascii="仿宋_GB2312" w:hAnsi="仿宋" w:eastAsia="仿宋_GB2312"/>
          <w:bCs/>
          <w:sz w:val="32"/>
          <w:szCs w:val="32"/>
        </w:rPr>
        <w:t>实验室数据统计上报。依据河北省教育厅关于报送2015/2016学年高等学校实验室信息统计数据的通知（冀教高函〔2016〕29号）精神，按时完成了我校2015/2016学年高等学校实验室信息统计工作。</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bCs/>
          <w:sz w:val="32"/>
          <w:szCs w:val="32"/>
        </w:rPr>
      </w:pPr>
      <w:r>
        <w:rPr>
          <w:rFonts w:hint="eastAsia" w:ascii="仿宋_GB2312" w:hAnsi="仿宋" w:eastAsia="仿宋_GB2312"/>
          <w:bCs/>
          <w:sz w:val="32"/>
          <w:szCs w:val="32"/>
        </w:rPr>
        <w:t>4.实验室安全管理。推进实验室安全网格化管理，加强实验室安全管理，制定我校《实验室安全专项检查工作实施方案》，组织各单位进行了实验室安全自查，并组织专家组进行了全面的检查督导，排查整改安全隐患10余条。</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3" w:firstLineChars="200"/>
        <w:textAlignment w:val="auto"/>
        <w:outlineLvl w:val="9"/>
        <w:rPr>
          <w:rFonts w:ascii="仿宋_GB2312" w:hAnsi="仿宋" w:eastAsia="仿宋_GB2312"/>
          <w:b/>
          <w:bCs/>
          <w:sz w:val="32"/>
          <w:szCs w:val="32"/>
        </w:rPr>
      </w:pPr>
      <w:r>
        <w:rPr>
          <w:rFonts w:hint="eastAsia" w:ascii="仿宋_GB2312" w:hAnsi="仿宋" w:eastAsia="仿宋_GB2312"/>
          <w:b/>
          <w:bCs/>
          <w:sz w:val="32"/>
          <w:szCs w:val="32"/>
        </w:rPr>
        <w:t>（四）迎评促改，扎实准备审核评估工作。</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b/>
          <w:bCs/>
          <w:sz w:val="32"/>
          <w:szCs w:val="32"/>
        </w:rPr>
      </w:pPr>
      <w:r>
        <w:rPr>
          <w:rFonts w:hint="eastAsia" w:ascii="仿宋_GB2312" w:hAnsi="仿宋" w:eastAsia="仿宋_GB2312"/>
          <w:bCs/>
          <w:sz w:val="32"/>
          <w:szCs w:val="32"/>
        </w:rPr>
        <w:t>落实学校本科教学审核评估工作安排，圆满完成分管的各项评估工作。一是，组织落实教务运行与实践教学部分的的评估准备。组织修订完善《实验室管理规程》等教学文件，针对性组织毕业论文和试卷的开展全面自查和整改，配合开展“文明进课堂 课前一分钟”主题教育活动，完成了本科教学审核评估分管工作范围的数据采集统计，共涉及49项，统计表格共计110个。二是，作为自评报告教学资源部分的起草组长，带领自评报告教学资源组全体成员，先后撰写修改教学资源部分的自评报告16稿，并全程参与整体自评报告讨论修改；作为成员，参与起草教学过程中实践教学部分内容的撰写，参与教学成果展设计与布展，配合开展校风教风检查活动。作为专业组长，在审核评估过程中，协助处长负责业务组，全面协调各项评估任务的落实，落实专家调阅试卷2500余份，毕业论文（设计）2200余份，全程陪同专家对3个校外实践基地走访。评估结束后，组织分管科室积极整改，现已出台《</w:t>
      </w:r>
      <w:r>
        <w:rPr>
          <w:rFonts w:ascii="仿宋_GB2312" w:hAnsi="仿宋" w:eastAsia="仿宋_GB2312"/>
          <w:bCs/>
          <w:sz w:val="32"/>
          <w:szCs w:val="32"/>
        </w:rPr>
        <w:t>关于进一步规范毕业论文（设计）工作的通知</w:t>
      </w:r>
      <w:r>
        <w:rPr>
          <w:rFonts w:hint="eastAsia" w:ascii="仿宋_GB2312" w:hAnsi="仿宋" w:eastAsia="仿宋_GB2312"/>
          <w:bCs/>
          <w:sz w:val="32"/>
          <w:szCs w:val="32"/>
        </w:rPr>
        <w:t>》等文件。</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3" w:firstLineChars="200"/>
        <w:textAlignment w:val="auto"/>
        <w:outlineLvl w:val="9"/>
        <w:rPr>
          <w:rFonts w:ascii="仿宋_GB2312" w:hAnsi="仿宋" w:eastAsia="仿宋_GB2312"/>
          <w:b/>
          <w:sz w:val="32"/>
          <w:szCs w:val="32"/>
        </w:rPr>
      </w:pPr>
      <w:r>
        <w:rPr>
          <w:rFonts w:hint="eastAsia" w:ascii="仿宋_GB2312" w:hAnsi="仿宋" w:eastAsia="仿宋_GB2312"/>
          <w:b/>
          <w:sz w:val="32"/>
          <w:szCs w:val="32"/>
        </w:rPr>
        <w:t>三、“戒”字在心，不断强化廉洁自律意识</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sz w:val="32"/>
          <w:szCs w:val="32"/>
        </w:rPr>
      </w:pPr>
      <w:r>
        <w:rPr>
          <w:rFonts w:hint="eastAsia" w:ascii="仿宋_GB2312" w:hAnsi="仿宋" w:eastAsia="仿宋_GB2312"/>
          <w:sz w:val="32"/>
          <w:szCs w:val="32"/>
        </w:rPr>
        <w:t>坚持以习近平总书记系列重要讲话精神为指引，把对马克思主义的信仰、对社会主义和共产主义的信念作为毕生追求，遵守党章党规，严守党的政治纪律和政治规矩，对党忠诚。学习贯彻《关于新形势下党内政治生活的若干准则》和《中国共产党党内监督条例》，严格遵守中央“八项规定”，严格执行党的组织纪律和廉政纪律，执行民主集中制和集体议事制度。落实校党委廉洁自律要求，自觉筑牢思想防线，进一步树立优良作风，严守工作纪律，把为民、务实、清廉落实到具体工作中。按规定向组织报告个人及家庭的重要事项，无违反领导干部廉洁自律规定的情况。</w:t>
      </w:r>
    </w:p>
    <w:p>
      <w:pPr>
        <w:keepNext w:val="0"/>
        <w:keepLines w:val="0"/>
        <w:pageBreakBefore w:val="0"/>
        <w:kinsoku/>
        <w:wordWrap/>
        <w:overflowPunct/>
        <w:topLinePunct w:val="0"/>
        <w:autoSpaceDE/>
        <w:autoSpaceDN/>
        <w:bidi w:val="0"/>
        <w:adjustRightInd/>
        <w:snapToGrid/>
        <w:spacing w:beforeAutospacing="0" w:afterAutospacing="0" w:line="560" w:lineRule="exact"/>
        <w:ind w:left="0" w:leftChars="0" w:right="0" w:rightChars="0" w:firstLine="640" w:firstLineChars="200"/>
        <w:textAlignment w:val="auto"/>
        <w:outlineLvl w:val="9"/>
        <w:rPr>
          <w:rFonts w:ascii="仿宋_GB2312" w:hAnsi="仿宋" w:eastAsia="仿宋_GB2312"/>
          <w:sz w:val="32"/>
          <w:szCs w:val="32"/>
        </w:rPr>
      </w:pPr>
      <w:r>
        <w:rPr>
          <w:rFonts w:hint="eastAsia" w:ascii="仿宋_GB2312" w:hAnsi="仿宋" w:eastAsia="仿宋_GB2312"/>
          <w:sz w:val="32"/>
          <w:szCs w:val="32"/>
        </w:rPr>
        <w:t>回顾一年来的工作，我也清醒的看到，自身还存在一系列明显的短板问题和不足。一是理论学习的深入性和系统性不够，二是创新思维不足，三是分管工作的专业研究较少。在新的一年，我将主动找出差距和不足，积极改进工作作风，不断创新工作思路，加强廉洁自律，以更高的标准严格要求自己，继续保持砥砺奋进的工作激情，埋头苦干，认真履职，为学校“双一流”建设做出贡献。</w:t>
      </w:r>
    </w:p>
    <w:sectPr>
      <w:footerReference r:id="rId3" w:type="default"/>
      <w:pgSz w:w="11906" w:h="16838"/>
      <w:pgMar w:top="1701" w:right="1418"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21538"/>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044C"/>
    <w:rsid w:val="000002E8"/>
    <w:rsid w:val="00000EDE"/>
    <w:rsid w:val="000031EB"/>
    <w:rsid w:val="000043F4"/>
    <w:rsid w:val="00011E7F"/>
    <w:rsid w:val="00036347"/>
    <w:rsid w:val="00065753"/>
    <w:rsid w:val="000927F5"/>
    <w:rsid w:val="000A1DB8"/>
    <w:rsid w:val="001023F4"/>
    <w:rsid w:val="00111A8A"/>
    <w:rsid w:val="0020016E"/>
    <w:rsid w:val="00203252"/>
    <w:rsid w:val="00210370"/>
    <w:rsid w:val="00240E95"/>
    <w:rsid w:val="002B1F0C"/>
    <w:rsid w:val="002D3729"/>
    <w:rsid w:val="002D55C7"/>
    <w:rsid w:val="00324786"/>
    <w:rsid w:val="003313BD"/>
    <w:rsid w:val="00355466"/>
    <w:rsid w:val="003A121F"/>
    <w:rsid w:val="00413CE3"/>
    <w:rsid w:val="00427169"/>
    <w:rsid w:val="004568BD"/>
    <w:rsid w:val="00472664"/>
    <w:rsid w:val="004828B3"/>
    <w:rsid w:val="004C5DEF"/>
    <w:rsid w:val="005668EE"/>
    <w:rsid w:val="0057517A"/>
    <w:rsid w:val="005B68BC"/>
    <w:rsid w:val="005C52FF"/>
    <w:rsid w:val="005F0457"/>
    <w:rsid w:val="00613029"/>
    <w:rsid w:val="00617C97"/>
    <w:rsid w:val="00620265"/>
    <w:rsid w:val="00621E44"/>
    <w:rsid w:val="006413BE"/>
    <w:rsid w:val="00675953"/>
    <w:rsid w:val="00680FC2"/>
    <w:rsid w:val="00696069"/>
    <w:rsid w:val="006C74C5"/>
    <w:rsid w:val="006D4C56"/>
    <w:rsid w:val="00796878"/>
    <w:rsid w:val="007B041B"/>
    <w:rsid w:val="007D74AD"/>
    <w:rsid w:val="007E3E6A"/>
    <w:rsid w:val="007E659B"/>
    <w:rsid w:val="007E6C97"/>
    <w:rsid w:val="007F109C"/>
    <w:rsid w:val="00802919"/>
    <w:rsid w:val="008831F4"/>
    <w:rsid w:val="008B5CC7"/>
    <w:rsid w:val="008C6431"/>
    <w:rsid w:val="008C70CA"/>
    <w:rsid w:val="009037DE"/>
    <w:rsid w:val="00930EBD"/>
    <w:rsid w:val="00972727"/>
    <w:rsid w:val="009834E0"/>
    <w:rsid w:val="00993577"/>
    <w:rsid w:val="009A75E2"/>
    <w:rsid w:val="009D79C3"/>
    <w:rsid w:val="00A01491"/>
    <w:rsid w:val="00A859AC"/>
    <w:rsid w:val="00A907E4"/>
    <w:rsid w:val="00AC02C1"/>
    <w:rsid w:val="00AD044C"/>
    <w:rsid w:val="00B01F9D"/>
    <w:rsid w:val="00B24750"/>
    <w:rsid w:val="00B603E5"/>
    <w:rsid w:val="00B85508"/>
    <w:rsid w:val="00B931E8"/>
    <w:rsid w:val="00BF5BC8"/>
    <w:rsid w:val="00C077F5"/>
    <w:rsid w:val="00C36E66"/>
    <w:rsid w:val="00C41005"/>
    <w:rsid w:val="00CA3D48"/>
    <w:rsid w:val="00CE1E81"/>
    <w:rsid w:val="00D23E62"/>
    <w:rsid w:val="00D60C2D"/>
    <w:rsid w:val="00DD3D06"/>
    <w:rsid w:val="00DE2D50"/>
    <w:rsid w:val="00E115F6"/>
    <w:rsid w:val="00E762D2"/>
    <w:rsid w:val="00EE41EA"/>
    <w:rsid w:val="00EF56C4"/>
    <w:rsid w:val="00F2017A"/>
    <w:rsid w:val="00F3637A"/>
    <w:rsid w:val="00F36616"/>
    <w:rsid w:val="00F4625F"/>
    <w:rsid w:val="00F56685"/>
    <w:rsid w:val="00F6785C"/>
    <w:rsid w:val="00F67ABA"/>
    <w:rsid w:val="00F835BD"/>
    <w:rsid w:val="00FC6A06"/>
    <w:rsid w:val="00FD67AA"/>
    <w:rsid w:val="1521578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7">
    <w:name w:val="Hyperlink"/>
    <w:basedOn w:val="6"/>
    <w:unhideWhenUsed/>
    <w:uiPriority w:val="99"/>
    <w:rPr>
      <w:color w:val="0000FF"/>
      <w:u w:val="single"/>
    </w:rPr>
  </w:style>
  <w:style w:type="character" w:customStyle="1" w:styleId="9">
    <w:name w:val="页眉 Char"/>
    <w:basedOn w:val="6"/>
    <w:link w:val="4"/>
    <w:semiHidden/>
    <w:qFormat/>
    <w:uiPriority w:val="99"/>
    <w:rPr>
      <w:rFonts w:ascii="Times New Roman" w:hAnsi="Times New Roman" w:eastAsia="宋体" w:cs="Times New Roman"/>
      <w:sz w:val="18"/>
      <w:szCs w:val="18"/>
    </w:rPr>
  </w:style>
  <w:style w:type="character" w:customStyle="1" w:styleId="10">
    <w:name w:val="页脚 Char"/>
    <w:basedOn w:val="6"/>
    <w:link w:val="3"/>
    <w:qFormat/>
    <w:uiPriority w:val="99"/>
    <w:rPr>
      <w:rFonts w:ascii="Times New Roman" w:hAnsi="Times New Roman" w:eastAsia="宋体" w:cs="Times New Roman"/>
      <w:sz w:val="18"/>
      <w:szCs w:val="18"/>
    </w:rPr>
  </w:style>
  <w:style w:type="character" w:customStyle="1" w:styleId="11">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327358-9EB9-4983-98F5-33C05CF4817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464</Words>
  <Characters>2651</Characters>
  <Lines>22</Lines>
  <Paragraphs>6</Paragraphs>
  <TotalTime>0</TotalTime>
  <ScaleCrop>false</ScaleCrop>
  <LinksUpToDate>false</LinksUpToDate>
  <CharactersWithSpaces>3109</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2016-12-12T06:03:00Z</dcterms:created>
  <dc:creator>微软用户</dc:creator>
  <cp:lastModifiedBy>l</cp:lastModifiedBy>
  <dcterms:modified xsi:type="dcterms:W3CDTF">2016-12-15T02:26:57Z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