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b/>
          <w:sz w:val="44"/>
          <w:szCs w:val="44"/>
        </w:rPr>
      </w:pPr>
      <w:bookmarkStart w:id="0" w:name="_GoBack"/>
      <w:r>
        <w:rPr>
          <w:rFonts w:hint="eastAsia"/>
          <w:b/>
          <w:sz w:val="44"/>
          <w:szCs w:val="44"/>
          <w:lang w:val="en-US" w:eastAsia="zh-CN"/>
        </w:rPr>
        <w:t>2016年度</w:t>
      </w:r>
      <w:r>
        <w:rPr>
          <w:rFonts w:hint="eastAsia"/>
          <w:b/>
          <w:sz w:val="44"/>
          <w:szCs w:val="44"/>
        </w:rPr>
        <w:t>述职述廉报告</w:t>
      </w:r>
    </w:p>
    <w:p>
      <w:pPr>
        <w:keepNext w:val="0"/>
        <w:keepLines w:val="0"/>
        <w:pageBreakBefore w:val="0"/>
        <w:kinsoku/>
        <w:wordWrap/>
        <w:overflowPunct/>
        <w:topLinePunct w:val="0"/>
        <w:autoSpaceDE/>
        <w:autoSpaceDN/>
        <w:bidi w:val="0"/>
        <w:adjustRightInd/>
        <w:snapToGrid/>
        <w:spacing w:beforeLines="50" w:afterLines="50" w:line="560" w:lineRule="exact"/>
        <w:ind w:left="0" w:leftChars="0" w:right="0" w:rightChars="0"/>
        <w:jc w:val="center"/>
        <w:textAlignment w:val="auto"/>
        <w:outlineLvl w:val="9"/>
        <w:rPr>
          <w:rFonts w:hint="eastAsia" w:ascii="仿宋_GB2312" w:eastAsia="仿宋_GB2312"/>
          <w:sz w:val="32"/>
          <w:szCs w:val="32"/>
        </w:rPr>
      </w:pPr>
      <w:r>
        <w:rPr>
          <w:rFonts w:hint="eastAsia" w:ascii="仿宋_GB2312" w:eastAsia="仿宋_GB2312"/>
          <w:sz w:val="32"/>
          <w:szCs w:val="32"/>
        </w:rPr>
        <w:t xml:space="preserve">教学评估与教师教学发展中心 </w:t>
      </w:r>
      <w:r>
        <w:rPr>
          <w:rFonts w:hint="eastAsia" w:ascii="宋体" w:hAnsi="宋体"/>
          <w:sz w:val="30"/>
          <w:szCs w:val="30"/>
        </w:rPr>
        <w:t>祃</w:t>
      </w:r>
      <w:r>
        <w:rPr>
          <w:rFonts w:hint="eastAsia" w:ascii="仿宋_GB2312" w:eastAsia="仿宋_GB2312"/>
          <w:sz w:val="32"/>
          <w:szCs w:val="32"/>
        </w:rPr>
        <w:t>海霞</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2016年担任教学评估与教师教学发展中心副主任，负责教学评估和教师教学发展全面工作，同时协助教务处管理教学科、课程中心2个科室，在领导和各部门、各科室的鼎力支持下，较好地完成了各项工作任务。按照学校干部考核要求，现将一年的工作汇报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仿宋_GB2312" w:eastAsia="仿宋_GB2312"/>
          <w:b/>
          <w:sz w:val="32"/>
          <w:szCs w:val="32"/>
        </w:rPr>
      </w:pPr>
      <w:r>
        <w:rPr>
          <w:rFonts w:hint="eastAsia" w:ascii="仿宋_GB2312" w:eastAsia="仿宋_GB2312"/>
          <w:b/>
          <w:sz w:val="32"/>
          <w:szCs w:val="32"/>
        </w:rPr>
        <w:t>一、德</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具有坚定的政治立场和鲜明的政治态度，在思想上、政治上保持了和党中央的一致性。积极参加理论学习，提高思想认识，深入领会党和国家的教育方针政策，把握其精神实质，认真学习相关业务知识，不断提高自己的理论水平和综合素质，增强工作能力。认真贯彻执行学校党委的方针、政策和决定，具有较强的党员意识、团结意识和大局意识。具有较强的事业心和责任心，紧紧围绕学校中心工作，围绕本科教学审核评估这一头等大事，图进步、谋发展，恪尽职守，甘于奉献，形成了比较顺畅的工作局面。作为教学评估与教师教学发展中心主要负责人、教务处分会主席和党支部副书记，密切联系群众，团结同志。</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仿宋_GB2312" w:eastAsia="仿宋_GB2312"/>
          <w:b/>
          <w:sz w:val="32"/>
          <w:szCs w:val="32"/>
        </w:rPr>
      </w:pPr>
      <w:r>
        <w:rPr>
          <w:rFonts w:hint="eastAsia" w:ascii="仿宋_GB2312" w:eastAsia="仿宋_GB2312"/>
          <w:b/>
          <w:sz w:val="32"/>
          <w:szCs w:val="32"/>
        </w:rPr>
        <w:t>二、能</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体现在教学管理、教学研究和专业教学三方面。注重提高自身的业务理论修养，在处理本岗位业务工作问题中，能够比较准确地理解和解释政策。深刻理解岗位特点，认真履行岗位职责。熟悉工作流程和业务，虚心向领导、同行和同事学习，与上下级、各职能处室、各教学单位积极配合，创新管理思路和方法，注重实干，具有一定组织协调能力、创新能力和解决实际问题的能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2016年主持完成河北省社会科学发展研究课题民生调研专项1项（京津冀高校财经类教师发展协同机制），主持完成省教改项目1项；主要参与完成的《高等财经类院校本科多元化人才培养模式研究》获校级教学成果一等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加强专业学习，努力提高自己的学科专业水平和教学能力。承担了本科生《统计学》等课程，效果良好，最近两次学生评教分别为全校第51名、校本部第23名。</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仿宋_GB2312" w:eastAsia="仿宋_GB2312"/>
          <w:b/>
          <w:sz w:val="32"/>
          <w:szCs w:val="32"/>
        </w:rPr>
      </w:pPr>
      <w:r>
        <w:rPr>
          <w:rFonts w:hint="eastAsia" w:ascii="仿宋_GB2312" w:eastAsia="仿宋_GB2312"/>
          <w:b/>
          <w:sz w:val="32"/>
          <w:szCs w:val="32"/>
        </w:rPr>
        <w:t>三、勤</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勤于思考、踏实做事、及时总结。爱岗敬业，能够以正确的态度对待各项任务，工作勤勤恳恳，不计较个人得失，从大处着眼，小处着手，尽心尽力，服务师生，积极主动地做好各项工作。勇于开展自我批评，善于听取并认真采纳合理建议，作风民主。遵守工作纪律，坚守岗位。</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仿宋_GB2312" w:hAnsi="宋体" w:eastAsia="仿宋_GB2312" w:cs="Arial"/>
          <w:b/>
          <w:color w:val="000000"/>
          <w:sz w:val="32"/>
          <w:szCs w:val="32"/>
        </w:rPr>
      </w:pPr>
      <w:r>
        <w:rPr>
          <w:rFonts w:hint="eastAsia" w:ascii="仿宋_GB2312" w:hAnsi="宋体" w:eastAsia="仿宋_GB2312" w:cs="Arial"/>
          <w:b/>
          <w:color w:val="000000"/>
          <w:sz w:val="32"/>
          <w:szCs w:val="32"/>
        </w:rPr>
        <w:t>四、绩</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在校领导和各位同仁的支持下，2016年主要完成了7大重要工作。</w:t>
      </w:r>
      <w:r>
        <w:rPr>
          <w:rFonts w:hint="eastAsia" w:ascii="仿宋_GB2312" w:eastAsia="仿宋_GB2312"/>
          <w:b/>
          <w:sz w:val="32"/>
          <w:szCs w:val="32"/>
        </w:rPr>
        <w:t>一是</w:t>
      </w:r>
      <w:r>
        <w:rPr>
          <w:rFonts w:hint="eastAsia" w:ascii="仿宋_GB2312" w:eastAsia="仿宋_GB2312"/>
          <w:sz w:val="32"/>
          <w:szCs w:val="32"/>
        </w:rPr>
        <w:t>顺利完成了本科教学审核评估工作的筹备、组织和实施；</w:t>
      </w:r>
      <w:r>
        <w:rPr>
          <w:rFonts w:hint="eastAsia" w:ascii="仿宋_GB2312" w:eastAsia="仿宋_GB2312"/>
          <w:b/>
          <w:sz w:val="32"/>
          <w:szCs w:val="32"/>
        </w:rPr>
        <w:t>二是</w:t>
      </w:r>
      <w:r>
        <w:rPr>
          <w:rFonts w:hint="eastAsia" w:ascii="仿宋_GB2312" w:eastAsia="仿宋_GB2312"/>
          <w:sz w:val="32"/>
          <w:szCs w:val="32"/>
        </w:rPr>
        <w:t>确立了本科教学质量保证体系建设框架，明确本科教学质量标准和责任分工；</w:t>
      </w:r>
      <w:r>
        <w:rPr>
          <w:rFonts w:hint="eastAsia" w:ascii="仿宋_GB2312" w:eastAsia="仿宋_GB2312"/>
          <w:b/>
          <w:sz w:val="32"/>
          <w:szCs w:val="32"/>
        </w:rPr>
        <w:t>三是</w:t>
      </w:r>
      <w:r>
        <w:rPr>
          <w:rFonts w:hint="eastAsia" w:ascii="仿宋_GB2312" w:eastAsia="仿宋_GB2312"/>
          <w:sz w:val="32"/>
          <w:szCs w:val="32"/>
        </w:rPr>
        <w:t>进一步加大了教师教学能力提升培训的深度、广度和力度；</w:t>
      </w:r>
      <w:r>
        <w:rPr>
          <w:rFonts w:hint="eastAsia" w:ascii="仿宋_GB2312" w:eastAsia="仿宋_GB2312"/>
          <w:b/>
          <w:sz w:val="32"/>
          <w:szCs w:val="32"/>
        </w:rPr>
        <w:t>四是</w:t>
      </w:r>
      <w:r>
        <w:rPr>
          <w:rFonts w:hint="eastAsia" w:ascii="仿宋_GB2312" w:eastAsia="仿宋_GB2312"/>
          <w:sz w:val="32"/>
          <w:szCs w:val="32"/>
        </w:rPr>
        <w:t>系统谋划了“十三五”教育教学改革顶层设计，推出教育教学改革30条、专业建设规划、课程建设规划等引领性文件；</w:t>
      </w:r>
      <w:r>
        <w:rPr>
          <w:rFonts w:hint="eastAsia" w:ascii="仿宋_GB2312" w:eastAsia="仿宋_GB2312"/>
          <w:b/>
          <w:sz w:val="32"/>
          <w:szCs w:val="32"/>
        </w:rPr>
        <w:t>五是</w:t>
      </w:r>
      <w:r>
        <w:rPr>
          <w:rFonts w:hint="eastAsia" w:ascii="仿宋_GB2312" w:eastAsia="仿宋_GB2312"/>
          <w:sz w:val="32"/>
          <w:szCs w:val="32"/>
        </w:rPr>
        <w:t>优化专业人才培养方案的内容体系和修订流程，切实体现“以生为本，全面发展”的培养理念；</w:t>
      </w:r>
      <w:r>
        <w:rPr>
          <w:rFonts w:hint="eastAsia" w:ascii="仿宋_GB2312" w:eastAsia="仿宋_GB2312"/>
          <w:b/>
          <w:sz w:val="32"/>
          <w:szCs w:val="32"/>
        </w:rPr>
        <w:t>六是</w:t>
      </w:r>
      <w:r>
        <w:rPr>
          <w:rFonts w:hint="eastAsia" w:ascii="仿宋_GB2312" w:eastAsia="仿宋_GB2312"/>
          <w:sz w:val="32"/>
          <w:szCs w:val="32"/>
        </w:rPr>
        <w:t>开发课程中心网站，推进精品开放课程及教学范式改革试点课程建设；</w:t>
      </w:r>
      <w:r>
        <w:rPr>
          <w:rFonts w:hint="eastAsia" w:ascii="仿宋_GB2312" w:eastAsia="仿宋_GB2312"/>
          <w:b/>
          <w:sz w:val="32"/>
          <w:szCs w:val="32"/>
        </w:rPr>
        <w:t>七是</w:t>
      </w:r>
      <w:r>
        <w:rPr>
          <w:rFonts w:hint="eastAsia" w:ascii="仿宋_GB2312" w:eastAsia="仿宋_GB2312"/>
          <w:sz w:val="32"/>
          <w:szCs w:val="32"/>
        </w:rPr>
        <w:t>完善学分制收费管理，进入第二轮河北省学分制改革试点。</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2" w:firstLineChars="200"/>
        <w:textAlignment w:val="auto"/>
        <w:outlineLvl w:val="9"/>
        <w:rPr>
          <w:rFonts w:ascii="楷体_GB2312" w:hAnsi="宋体" w:eastAsia="楷体_GB2312"/>
          <w:b/>
          <w:sz w:val="30"/>
          <w:szCs w:val="30"/>
        </w:rPr>
      </w:pPr>
      <w:r>
        <w:rPr>
          <w:rFonts w:hint="eastAsia" w:ascii="楷体_GB2312" w:hAnsi="宋体" w:eastAsia="楷体_GB2312"/>
          <w:b/>
          <w:sz w:val="30"/>
          <w:szCs w:val="30"/>
        </w:rPr>
        <w:t>（一）完成本科教学审核评估工作的筹备、组织和实施</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2015年12月制定《河北经贸大学迎接教育部本科教学审核评估工作方案》，建立审核评估工作组织机构。设立审核评估工作领导小组、评估工作办公室、10个专项工作组、4个自评专家组、7个迎评工作推进组和二级学院审核评估领导小组。2016年结合学校实际，在全校动员的基础上扎实推进审核评估各项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1.制定《河北经贸大学本科教学审核评估教学单位阶段性工作指引》，组织开展各阶段的学习、检查和报告撰写活动，推进本科教学建设与整改。①2016年3月-6月，组织召开审核评估专项工作组推进会共计7场。②2016年5月组织召开审核评估工作推进会和教学基本状态数据专题研讨会。③出台《河北经贸大学关于开展审核评估校内专项督导检查的通知》，2016年5月开展审核评估校内专项督导检查，组织20个教学单位凝练亮点与特色、全面自评并整改、完善评估相关材料。校内督查评价结果90分以上的有6个单位，督导检查成效显著。④2016年6月组织召开职能部门审核评估工作汇报会，并赴河北师范大学开展调研。⑤2016年6月-8月，利用假期组织专项工作组撰写自评报告，组织讨论工作会共计8次。⑥发布评估工作日志，发布评估工作简报共计30期。</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2.有条不紊地开展审核评估材料准备工作。①撰写并印发《审核评估知识手册》2000册、《“头等大事”审核评估知多少》3000册，组织开展全校范围的学习与宣传。②组织整理支撑材料共计481份，涉及21个相关部门和各教学单位，编写支撑材料目录。③组织撰写、整理、印制并上传专家案头材料21类。④组织并参与撰写自评报告。⑤组织评估三大报告的印制、上传和寄送。</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3.制定《河北经贸大学迎接教育部本科教学审核评估筹备工作安排》，做好迎评各项工作。①成立审核评估指挥调度中心组织机构，设立8个专项组，统筹安排业务、联络会务、考察走访、接待、宣传、校风、安保、后勤保障等工作。②提出各部门迎评具体要求。③编制《河北经贸大学本科教学校内评估运行调度手册》，细化13项任务的操作流程。④编制《河北经贸大学本科教学校内评估专家考察工作指南》。⑤制定《河北经贸大学本科教学校内评估工作安排》，组织5位校外专家和10位校内专家按照审核评估的要求和程序，于2016年9月19日-23日开展本科教学校内评估，取得较大成效。</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4.做好审核评估专家组进校前后各项工作。①拟定《河北经贸大学关于开展本科教学审核评估的请示》，启动审核评估工作程序。②组织召开专家联络员工作协调会。③编印《河北经贸大学本科教学审核评估运行调度手册》《河北经贸大学本科教学审核评估专家考察工作指南》，明确职责分工，细化工作任务。④撰写《河北经贸大学本科教学工作审核评估自评报告补充说明》。⑤协调专家组进校前的各项准备与服务工作。⑥完成本科教学成果展筹备工作。⑦完成专家组在校期间的评估准备、协调与服务工作，专家组在为期5天的现场考察中，深度访谈了11位校领导、24位职能部门中层管理干部、20个本科教学单位的领导及教师代表与学生代表，共计100余人。随机访谈了学校师生员工70余人。走访考察了校史馆、图书馆、发票博物馆、京津冀一体化发展协同创新中心、经济管理实验中心、校外实习实践基地及用人单位，学生宿舍和食堂。召开了12次教师代表与学生代表座谈会。并对部分教师和学生做了问卷调查。听课、看课30余门次，调阅试卷2500余份，毕业论文（设计）2200余份。另外调阅了“十二五”“十三五”发展规划、人才培养方案、教学文件汇编等大量支撑资料。⑧组织召开评估见面会、意见反馈会。⑨完成评估后的专家意见整理、资料分类、工作量统计等后续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2" w:firstLineChars="200"/>
        <w:textAlignment w:val="auto"/>
        <w:outlineLvl w:val="9"/>
        <w:rPr>
          <w:rFonts w:ascii="楷体_GB2312" w:hAnsi="宋体" w:eastAsia="楷体_GB2312"/>
          <w:b/>
          <w:sz w:val="30"/>
          <w:szCs w:val="30"/>
        </w:rPr>
      </w:pPr>
      <w:r>
        <w:rPr>
          <w:rFonts w:hint="eastAsia" w:ascii="楷体_GB2312" w:hAnsi="宋体" w:eastAsia="楷体_GB2312"/>
          <w:b/>
          <w:sz w:val="30"/>
          <w:szCs w:val="30"/>
        </w:rPr>
        <w:t>（二）确立本科教学质量保证体系建设框架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1.制定《河北经贸大学本科教学质量标准纲要》《河北经贸大学本科教学质量保证实施办法》，对“教学质量目标和管理职责”“教学资源管理”“教学过程管理”及“教学质量监控”四个关键环节的质量标准和管理职责进行了明确界定，为改进教学质量保障工作提供了行动纲领。</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2.制定《河北经贸大学本科教学质量常态监测工作责任分工》，明确管理评审、质量监控、数据采集、专题分析等核心工作任务，形成4439工作体系。即：4项采集（教学基本状态数据、教学运行数据、实验教学数据、专项调查数据）、4类监控（课堂教学质量监控、实践教学质量监控、不合格控制、毕业及学位资格审查）、3种评价（本科教学师资队伍评价、本科教学活动经费使用评价、本科教学设施使用评价）、9项分析（生源质量分析、考试分析、运行数据分析、本科教学基本状态数据分析、毕业班学生问卷调查分析、毕业生就业情况分析、毕业生社会满意度调查分析、学生培养质量分析、本科教学年度质量报告）。</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2" w:firstLineChars="200"/>
        <w:textAlignment w:val="auto"/>
        <w:outlineLvl w:val="9"/>
        <w:rPr>
          <w:rFonts w:ascii="楷体_GB2312" w:hAnsi="宋体" w:eastAsia="楷体_GB2312"/>
          <w:b/>
          <w:sz w:val="30"/>
          <w:szCs w:val="30"/>
        </w:rPr>
      </w:pPr>
      <w:r>
        <w:rPr>
          <w:rFonts w:hint="eastAsia" w:ascii="楷体_GB2312" w:hAnsi="宋体" w:eastAsia="楷体_GB2312"/>
          <w:b/>
          <w:sz w:val="30"/>
          <w:szCs w:val="30"/>
        </w:rPr>
        <w:t>（三）推进教师教学能力提升培训的深度、广度和力度</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根据《2016年教师教学发展工作计划》，实施教学能力提升、教学交流服务、课程进修学习三大计划的各项工作。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1.组织各类教师培训、交流和进修学习。①组织教师参加全国高校教师网络培训。目前我校在线学习平台注册学员总数534人，报名课程1086门次。2016年新增注册学员95人，报名课程数88门次。②组织10位教师参加省教育厅国培项目。③制定《河北经贸大学2016年新入职教师培训计划》，开展新入职教师培训。出台《河北经贸大学关于开展2016年教师教学科研基本技能网络培训活动的通知》《河北经贸大学关于开展2016年新入职教师案例教学培训活动的通知》，组织名师观摩、专题培训等系列活动。目前，已有146人次参加校史校情教育、人事管理制度专题、科研管理专题、财务管理专题培训，其他活动正在陆续开展中。④ 鼓励教师参加校内外各类教学会议、培训班。截止12月14日，2016年教师参加校外教学会议114人次、培训班127人次；校内培训224人次。⑤组织5位教师开展校外课程进修。⑥组织开展18次教学沙龙活动。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2.细化管理，完善制度，优化流程。①依托教学评估与教师教学发展中心网站平台，细化培训日程管理，发布《教师教学交流相关工作日志》《教师教学能力提升相关工作日志》，发布专题培训海报，集成教师在线学习平台、课程中心资源平台，推送培训资料共享下载。②制定《河北经贸大学新入职教师助教制度实施办法》《河北经贸大学学生助教制度实施办法》，完善教师教学能力提升机制。《河北经贸大学学生助教制度实施办法》出台后的首个学期（2016—2017学年第一学期），共为9个学院的98位教师提供了学生助教，共计4441学时、100个教学班。③实现教师教学会议（培训班）、教师校外进修网上申请、审批功能，简化培训申请流程。④建立新入职教师个人成长档案。⑤申请70万培训专项经费，加大资助支持力度。</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注：由于科室职能调整尚未到位，中心仍协助教务处承担了2016年师资管理职能，具体包括：①制定《河北经贸大学教师教学质量考核办法》，完成近三学年教学质量考核及备案工作，每学期教师课堂教学效果调查工作。②完成每学期教师讲课费的审核、发放。2016年共计发放2040万元。③完成每学期教师工作量表的审核、录入（2000余人）。④完成校长特别奖（3名）、教学优秀奖（49名）评选。⑤完成教职工变动（调入、转出、内部变动、学历变化）情况统计、教师花名册修订工作。⑥配合人事处做好教师职称评定及教师年终考核工作。⑦配合校办做好教育部年度报表工作。⑧完成学生普通话测试的组织与实施，2016年共计7507人。）</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2" w:firstLineChars="200"/>
        <w:textAlignment w:val="auto"/>
        <w:outlineLvl w:val="9"/>
        <w:rPr>
          <w:rFonts w:ascii="楷体_GB2312" w:hAnsi="宋体" w:eastAsia="楷体_GB2312"/>
          <w:b/>
          <w:sz w:val="30"/>
          <w:szCs w:val="30"/>
        </w:rPr>
      </w:pPr>
      <w:r>
        <w:rPr>
          <w:rFonts w:hint="eastAsia" w:ascii="楷体_GB2312" w:hAnsi="宋体" w:eastAsia="楷体_GB2312"/>
          <w:b/>
          <w:sz w:val="30"/>
          <w:szCs w:val="30"/>
        </w:rPr>
        <w:t>（四）系统谋划推进“十三五”教育教学改革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1.出台《河北经贸大学关于全面深化本科教育教学改革的若干意见》（经贸“30条”），在“十二五”七大教改计划的基础上，明确深化改革的方向和实施框架。编印《河北经贸大学教学大讨论资料汇辑》。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2.制定《河北经贸大学全日制本科专业预警及退出实施办法（试行）》，开展2016年专业分析，为专业结构调整优化奠定基础。</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3.参与制定《河北经贸大学“十三五”发展规划》《河北经贸大学综合改革方案》《学科专业建设规划》《本科教学发展规划》，组织制定学校《“十三五”课程建设规划》及58个本科专业的建设规划。</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4.通过省学位办对</w:t>
      </w:r>
      <w:r>
        <w:rPr>
          <w:rFonts w:ascii="仿宋_GB2312" w:eastAsia="仿宋_GB2312"/>
          <w:sz w:val="32"/>
          <w:szCs w:val="32"/>
        </w:rPr>
        <w:t>20</w:t>
      </w:r>
      <w:r>
        <w:rPr>
          <w:rFonts w:hint="eastAsia" w:ascii="仿宋_GB2312" w:eastAsia="仿宋_GB2312"/>
          <w:sz w:val="32"/>
          <w:szCs w:val="32"/>
        </w:rPr>
        <w:t>12年新增“投资学”本科专业的学位授权评审。完成“房地产开发与管理”“罗马尼亚语”2个新专业的申报工作。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5.完成河北省高等学校第二届教学指导委员会委员候选人推荐工作。完成与新疆巴音郭楞职业技术学院联合举办本科试点班的前期准备工作。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6.完成国家、省级质量工程（8个专业综合改革试点、1个二级学院综合改革）项目的验收上报工作。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7.拟定《河北经贸大学学分制收费管理办法》，完善学分制实施方案，进入第二轮河北省学分制改革试点阶段。</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2" w:firstLineChars="200"/>
        <w:textAlignment w:val="auto"/>
        <w:outlineLvl w:val="9"/>
        <w:rPr>
          <w:rFonts w:ascii="楷体_GB2312" w:hAnsi="宋体" w:eastAsia="楷体_GB2312"/>
          <w:b/>
          <w:sz w:val="30"/>
          <w:szCs w:val="30"/>
        </w:rPr>
      </w:pPr>
      <w:r>
        <w:rPr>
          <w:rFonts w:hint="eastAsia" w:ascii="楷体_GB2312" w:hAnsi="宋体" w:eastAsia="楷体_GB2312"/>
          <w:b/>
          <w:sz w:val="30"/>
          <w:szCs w:val="30"/>
        </w:rPr>
        <w:t>（五）健全专业人才培养方案设计机制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出台《关于制订2016年本科人才培养方案和编制教学一览的安排意见》，以“三个设计”为主线组织完成57个本科专业、7个专接本专业、31个双学位专业、4个对口本科专业的人才培养方案修订工作。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1.完善培养体系顶层设计，凸显大学环境育人功能，将第二课堂素质学分（10学分）纳入毕业学分体系，工科专业在162学分的基础上增加10学分实践内容，将创新创业教育系统融入人才培养体系，实现创新创业教育的常态化、可持续和学生全覆盖，进一步提高了培养方案的有效性和完整性。</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2.完善专业课程体系设计，形成通用和专业能力养成框图、专业学习指引、推荐专业阅读书目、双学位（辅修）专业修读路径，实现对学生的价值塑造、能力养成和知识传授。2016级共有28个专业为学生设计了一个或多个双学位及辅修推荐修读路径，专业比重达48.28%。</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3.完善培养方案制定环节设计，实施学生与用人单位调查报告制度、方案修订论证记录单制度、多层次论证审议制度并辑印成册，对接社会人才需求，细化培养目标和能力指向。</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02" w:firstLineChars="200"/>
        <w:textAlignment w:val="auto"/>
        <w:outlineLvl w:val="9"/>
        <w:rPr>
          <w:rFonts w:ascii="楷体_GB2312" w:hAnsi="宋体" w:eastAsia="楷体_GB2312"/>
          <w:b/>
          <w:sz w:val="30"/>
          <w:szCs w:val="30"/>
        </w:rPr>
      </w:pPr>
      <w:r>
        <w:rPr>
          <w:rFonts w:hint="eastAsia" w:ascii="楷体_GB2312" w:hAnsi="宋体" w:eastAsia="楷体_GB2312"/>
          <w:b/>
          <w:sz w:val="30"/>
          <w:szCs w:val="30"/>
        </w:rPr>
        <w:t>（六）推进课程中心网站开发与精品资源建设</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1.开发河北经贸大学课程中心网站。网站集成“建”“教”“学”“管”多终端平台网络环境，具备课程自建、教师教学、学生学习、课程管理多种功能，可以促进资源的建设积累、整合利用与高效管理。</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2.制定《河北经贸大学课程建设规划（2016-2020年）》。制定新的课程大纲标准，并按专业组织完成了课程教学大纲的更新、印发工作，共计58个专业、2308门课程。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3.推进精品开放课程及教学范式改革试点课程建设。①完成2013、2014年度 37门教学范式改革课程验收工作。《国际金融》等10门课程验收优秀，《国际税收》等26门课程验收合格，1门课程延期验收。②完成2016年度校级精品资源共享课程的申报工作。《文化传播与产业管理》等4门课程立项为校级精品视频公开课建设项目，《中国税制》等17门课程为校级精品资源共享课建设项目，共计21门。目前共建有1门国家级、2门省级、69门校级精品开放课。③完成2014、2015年度46门校级精品资源共享课程的视频录制，组织2016年度21门校级精品资源共享课程的视频录制签约工作。④完成课程建设相关费用的预算编制和审查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4.严把双语教学师资准入关，完成第八批双语教师资格和双语课程的申报、认证工作。经审核，提出申请的9门课程通过了认证，2名教师均未取得资格。组织第九批双语教师资格认证申报工作。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r>
        <w:rPr>
          <w:rFonts w:hint="eastAsia" w:ascii="仿宋_GB2312" w:eastAsia="仿宋_GB2312"/>
          <w:sz w:val="32"/>
          <w:szCs w:val="32"/>
        </w:rPr>
        <w:t>5.规范网络学习课程管理，制定并落实《河北经贸大学网络学习课程教学管理办法》，每学期组织课程辅导教师开展集中讨论和培训。顺利完成网络学习课程的采购和日常运行管理工作。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注：课程中心接受委托，完成人才培养质量评价工作。①聘请专业高教管理数据与咨询公司（麦可思公司）进行毕业生跟踪调查，完成对2012届、2014届毕业生的培养质量第三方调研工作，形成《河北经贸大学本科就业质量年度报告》《河北经贸大学应届毕业生社会需求与培养质量跟踪评价报告》《河北经贸大学毕业生中期职业发展评价年度报告》，为学校发现人才培养过程中存在的问题和改进教学提供客观依据。②制定河北经贸大学2016年度人才培养质量评价方案，聘请教育管理数据资讯与教育质量评估机构（新锦成公司）实施第二轮质量跟踪调查。</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仿宋_GB2312" w:eastAsia="仿宋_GB2312"/>
          <w:b/>
          <w:color w:val="000000"/>
          <w:sz w:val="32"/>
          <w:szCs w:val="32"/>
        </w:rPr>
      </w:pPr>
      <w:r>
        <w:rPr>
          <w:rFonts w:hint="eastAsia" w:ascii="仿宋_GB2312" w:eastAsia="仿宋_GB2312"/>
          <w:b/>
          <w:color w:val="000000"/>
          <w:sz w:val="32"/>
          <w:szCs w:val="32"/>
        </w:rPr>
        <w:t>五、廉</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认真学习有关政策和规定，严格执行财务纪律和规范，廉洁自律，勤俭办事。牢记“两个务必”，遵守党规党纪，自觉保持清正廉洁的优良作风，闻警自省，见贤思齐。</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color w:val="00000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回顾一年来的工作，我取得较大收获，但也有不足之处，如主动学习政治理论还有欠缺，专业学习深度还不够。在今后的工作中，特别是面对新的岗位、新的任务，</w:t>
      </w:r>
      <w:r>
        <w:rPr>
          <w:rFonts w:hint="eastAsia" w:ascii="仿宋_GB2312" w:eastAsia="仿宋_GB2312"/>
          <w:sz w:val="32"/>
          <w:szCs w:val="32"/>
        </w:rPr>
        <w:t>需要改进的地方还有很多。</w:t>
      </w:r>
      <w:r>
        <w:rPr>
          <w:rFonts w:hint="eastAsia" w:ascii="仿宋_GB2312" w:hAnsi="宋体" w:eastAsia="仿宋_GB2312"/>
          <w:sz w:val="32"/>
          <w:szCs w:val="32"/>
        </w:rPr>
        <w:t>针对艰巨的校内自我管理评审任务和不断出现的新情况、新问题，我需要不断加强学习，</w:t>
      </w:r>
      <w:r>
        <w:rPr>
          <w:rFonts w:hint="eastAsia" w:ascii="仿宋_GB2312" w:eastAsia="仿宋_GB2312"/>
          <w:color w:val="000000"/>
          <w:sz w:val="32"/>
          <w:szCs w:val="32"/>
        </w:rPr>
        <w:t>多沟通、多交流，与其他同志共同努力，共同创造和谐向上的工作环境，创造性地开展工作。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ascii="仿宋_GB2312" w:eastAsia="仿宋_GB2312"/>
          <w:sz w:val="32"/>
          <w:szCs w:val="32"/>
        </w:rPr>
      </w:pPr>
    </w:p>
    <w:bookmarkEnd w:id="0"/>
    <w:sectPr>
      <w:headerReference r:id="rId3" w:type="default"/>
      <w:footerReference r:id="rId4" w:type="default"/>
      <w:footerReference r:id="rId5" w:type="even"/>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separate"/>
    </w:r>
    <w:r>
      <w:rPr>
        <w:rStyle w:val="4"/>
      </w:rPr>
      <w:t>11</w:t>
    </w:r>
    <w:r>
      <w:rPr>
        <w:rStyle w:val="4"/>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separate"/>
    </w:r>
    <w:r>
      <w:rPr>
        <w:rStyle w:val="4"/>
      </w:rPr>
      <w:t>15</w:t>
    </w:r>
    <w:r>
      <w:rPr>
        <w:rStyle w:val="4"/>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7B1A"/>
    <w:rsid w:val="00072CB4"/>
    <w:rsid w:val="000A7257"/>
    <w:rsid w:val="000C66D6"/>
    <w:rsid w:val="000E1F92"/>
    <w:rsid w:val="00112C67"/>
    <w:rsid w:val="00122721"/>
    <w:rsid w:val="00175FFF"/>
    <w:rsid w:val="00194FC8"/>
    <w:rsid w:val="001B3326"/>
    <w:rsid w:val="001C0B50"/>
    <w:rsid w:val="001D1EF5"/>
    <w:rsid w:val="001D29D2"/>
    <w:rsid w:val="001E0AA8"/>
    <w:rsid w:val="001F09B1"/>
    <w:rsid w:val="001F24DD"/>
    <w:rsid w:val="001F3C79"/>
    <w:rsid w:val="001F6FDF"/>
    <w:rsid w:val="00207A56"/>
    <w:rsid w:val="00214C3B"/>
    <w:rsid w:val="002255DA"/>
    <w:rsid w:val="00227C3F"/>
    <w:rsid w:val="00251B30"/>
    <w:rsid w:val="00253EB8"/>
    <w:rsid w:val="00265CB2"/>
    <w:rsid w:val="00275685"/>
    <w:rsid w:val="002A78B1"/>
    <w:rsid w:val="00404FB9"/>
    <w:rsid w:val="00421F4D"/>
    <w:rsid w:val="00434C2D"/>
    <w:rsid w:val="0043588F"/>
    <w:rsid w:val="00437103"/>
    <w:rsid w:val="00491CA3"/>
    <w:rsid w:val="004D30DB"/>
    <w:rsid w:val="004D4ABB"/>
    <w:rsid w:val="004E339F"/>
    <w:rsid w:val="00533879"/>
    <w:rsid w:val="00567B1A"/>
    <w:rsid w:val="00591D63"/>
    <w:rsid w:val="005B3B7B"/>
    <w:rsid w:val="005C0B5B"/>
    <w:rsid w:val="00606C0D"/>
    <w:rsid w:val="00661038"/>
    <w:rsid w:val="00672A39"/>
    <w:rsid w:val="006B50A7"/>
    <w:rsid w:val="006D5D17"/>
    <w:rsid w:val="006D7715"/>
    <w:rsid w:val="006F4B55"/>
    <w:rsid w:val="007A60D4"/>
    <w:rsid w:val="00805C61"/>
    <w:rsid w:val="00810AE7"/>
    <w:rsid w:val="0082723E"/>
    <w:rsid w:val="00855576"/>
    <w:rsid w:val="00872CCC"/>
    <w:rsid w:val="008863D3"/>
    <w:rsid w:val="008A68E5"/>
    <w:rsid w:val="008B42FA"/>
    <w:rsid w:val="008B7087"/>
    <w:rsid w:val="008D64D3"/>
    <w:rsid w:val="008D767D"/>
    <w:rsid w:val="00973DC5"/>
    <w:rsid w:val="00974209"/>
    <w:rsid w:val="0097776A"/>
    <w:rsid w:val="00A17D3D"/>
    <w:rsid w:val="00A22963"/>
    <w:rsid w:val="00A72941"/>
    <w:rsid w:val="00A75041"/>
    <w:rsid w:val="00A8599D"/>
    <w:rsid w:val="00AB6655"/>
    <w:rsid w:val="00AC7B9D"/>
    <w:rsid w:val="00AE3362"/>
    <w:rsid w:val="00B54D3C"/>
    <w:rsid w:val="00C0728C"/>
    <w:rsid w:val="00C07B1F"/>
    <w:rsid w:val="00D36C1A"/>
    <w:rsid w:val="00D61C15"/>
    <w:rsid w:val="00D72570"/>
    <w:rsid w:val="00D77FBF"/>
    <w:rsid w:val="00D95899"/>
    <w:rsid w:val="00DA3876"/>
    <w:rsid w:val="00E0214E"/>
    <w:rsid w:val="00E11D5D"/>
    <w:rsid w:val="00E37D46"/>
    <w:rsid w:val="00E61790"/>
    <w:rsid w:val="00E61C3B"/>
    <w:rsid w:val="00EA7083"/>
    <w:rsid w:val="00EB35CD"/>
    <w:rsid w:val="00EE3AB3"/>
    <w:rsid w:val="00EF3564"/>
    <w:rsid w:val="00F64BD0"/>
    <w:rsid w:val="00FE1CC7"/>
    <w:rsid w:val="00FE61DC"/>
    <w:rsid w:val="627C0571"/>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kern w:val="0"/>
      <w:sz w:val="18"/>
      <w:szCs w:val="18"/>
    </w:rPr>
  </w:style>
  <w:style w:type="character" w:styleId="4">
    <w:name w:val="page number"/>
    <w:uiPriority w:val="99"/>
    <w:rPr>
      <w:rFonts w:cs="Times New Roman"/>
    </w:rPr>
  </w:style>
  <w:style w:type="character" w:customStyle="1" w:styleId="6">
    <w:name w:val="页脚 Char"/>
    <w:basedOn w:val="3"/>
    <w:link w:val="2"/>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FFBF44-C885-4630-8C82-9E5BC370F8C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948</Words>
  <Characters>5406</Characters>
  <Lines>45</Lines>
  <Paragraphs>12</Paragraphs>
  <TotalTime>0</TotalTime>
  <ScaleCrop>false</ScaleCrop>
  <LinksUpToDate>false</LinksUpToDate>
  <CharactersWithSpaces>6342</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2016-11-23T00:49:00Z</dcterms:created>
  <dc:creator>祃海霞</dc:creator>
  <cp:lastModifiedBy>l</cp:lastModifiedBy>
  <dcterms:modified xsi:type="dcterms:W3CDTF">2016-12-15T02:34:07Z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