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ind w:right="0" w:rightChars="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2017</w:t>
      </w:r>
      <w:r>
        <w:rPr>
          <w:rFonts w:hint="eastAsia" w:ascii="方正小标宋简体" w:hAnsi="方正小标宋简体" w:eastAsia="方正小标宋简体" w:cs="方正小标宋简体"/>
          <w:b w:val="0"/>
          <w:bCs w:val="0"/>
          <w:color w:val="000000"/>
          <w:sz w:val="44"/>
          <w:szCs w:val="44"/>
        </w:rPr>
        <w:t>年度工作总结</w:t>
      </w:r>
    </w:p>
    <w:p>
      <w:pPr>
        <w:keepNext w:val="0"/>
        <w:keepLines w:val="0"/>
        <w:pageBreakBefore w:val="0"/>
        <w:widowControl/>
        <w:kinsoku/>
        <w:wordWrap/>
        <w:overflowPunct/>
        <w:topLinePunct w:val="0"/>
        <w:autoSpaceDE/>
        <w:bidi w:val="0"/>
        <w:adjustRightInd/>
        <w:snapToGrid/>
        <w:spacing w:line="560" w:lineRule="exact"/>
        <w:ind w:right="0" w:rightChars="0"/>
        <w:jc w:val="center"/>
        <w:textAlignment w:val="auto"/>
        <w:outlineLvl w:val="0"/>
        <w:rPr>
          <w:rFonts w:hint="eastAsia" w:ascii="楷体_GB2312" w:hAnsi="楷体_GB2312" w:eastAsia="楷体_GB2312" w:cs="楷体_GB2312"/>
          <w:b w:val="0"/>
          <w:bCs w:val="0"/>
          <w:color w:val="000000"/>
          <w:sz w:val="32"/>
          <w:szCs w:val="32"/>
        </w:rPr>
      </w:pPr>
      <w:bookmarkStart w:id="0" w:name="_Toc501441588"/>
      <w:bookmarkStart w:id="1" w:name="_Toc501461701"/>
      <w:r>
        <w:rPr>
          <w:rFonts w:hint="eastAsia" w:ascii="楷体_GB2312" w:hAnsi="楷体_GB2312" w:eastAsia="楷体_GB2312" w:cs="楷体_GB2312"/>
          <w:b w:val="0"/>
          <w:bCs w:val="0"/>
          <w:color w:val="000000"/>
          <w:sz w:val="32"/>
          <w:szCs w:val="32"/>
        </w:rPr>
        <w:t>商学院</w:t>
      </w:r>
    </w:p>
    <w:p>
      <w:pPr>
        <w:keepNext w:val="0"/>
        <w:keepLines w:val="0"/>
        <w:pageBreakBefore w:val="0"/>
        <w:widowControl/>
        <w:kinsoku/>
        <w:wordWrap/>
        <w:overflowPunct/>
        <w:topLinePunct w:val="0"/>
        <w:autoSpaceDE/>
        <w:bidi w:val="0"/>
        <w:adjustRightInd/>
        <w:snapToGrid/>
        <w:spacing w:line="560" w:lineRule="exact"/>
        <w:ind w:right="0" w:rightChars="0"/>
        <w:jc w:val="center"/>
        <w:textAlignment w:val="auto"/>
        <w:outlineLvl w:val="0"/>
        <w:rPr>
          <w:rFonts w:hint="eastAsia" w:ascii="仿宋_GB2312" w:hAnsi="仿宋_GB2312" w:eastAsia="仿宋_GB2312" w:cs="仿宋_GB2312"/>
          <w:b/>
          <w:bCs/>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商学院现有教职工</w:t>
      </w:r>
      <w:r>
        <w:rPr>
          <w:rFonts w:hint="eastAsia" w:ascii="仿宋_GB2312" w:hAnsi="仿宋_GB2312" w:eastAsia="仿宋_GB2312" w:cs="仿宋_GB2312"/>
          <w:color w:val="000000"/>
          <w:sz w:val="32"/>
          <w:szCs w:val="32"/>
        </w:rPr>
        <w:t>83</w:t>
      </w:r>
      <w:r>
        <w:rPr>
          <w:rFonts w:hint="eastAsia" w:ascii="仿宋_GB2312" w:hAnsi="仿宋_GB2312" w:eastAsia="仿宋_GB2312" w:cs="仿宋_GB2312"/>
          <w:color w:val="000000"/>
          <w:sz w:val="32"/>
          <w:szCs w:val="32"/>
        </w:rPr>
        <w:t>人，专任教师</w:t>
      </w:r>
      <w:r>
        <w:rPr>
          <w:rFonts w:hint="eastAsia" w:ascii="仿宋_GB2312" w:hAnsi="仿宋_GB2312" w:eastAsia="仿宋_GB2312" w:cs="仿宋_GB2312"/>
          <w:color w:val="000000"/>
          <w:sz w:val="32"/>
          <w:szCs w:val="32"/>
        </w:rPr>
        <w:t>65</w:t>
      </w:r>
      <w:r>
        <w:rPr>
          <w:rFonts w:hint="eastAsia" w:ascii="仿宋_GB2312" w:hAnsi="仿宋_GB2312" w:eastAsia="仿宋_GB2312" w:cs="仿宋_GB2312"/>
          <w:color w:val="000000"/>
          <w:sz w:val="32"/>
          <w:szCs w:val="32"/>
        </w:rPr>
        <w:t>人。设有四个系：经济学系、贸易经济系、国际贸易系、电子商务系。四个本科专业，</w:t>
      </w:r>
      <w:r>
        <w:rPr>
          <w:rFonts w:hint="eastAsia" w:ascii="仿宋_GB2312" w:hAnsi="仿宋_GB2312" w:eastAsia="仿宋_GB2312" w:cs="仿宋_GB2312"/>
          <w:color w:val="000000"/>
          <w:sz w:val="32"/>
          <w:szCs w:val="32"/>
        </w:rPr>
        <w:t>50</w:t>
      </w:r>
      <w:r>
        <w:rPr>
          <w:rFonts w:hint="eastAsia" w:ascii="仿宋_GB2312" w:hAnsi="仿宋_GB2312" w:eastAsia="仿宋_GB2312" w:cs="仿宋_GB2312"/>
          <w:color w:val="000000"/>
          <w:sz w:val="32"/>
          <w:szCs w:val="32"/>
        </w:rPr>
        <w:t>个本科班级，在校本科生</w:t>
      </w:r>
      <w:r>
        <w:rPr>
          <w:rFonts w:hint="eastAsia" w:ascii="仿宋_GB2312" w:hAnsi="仿宋_GB2312" w:eastAsia="仿宋_GB2312" w:cs="仿宋_GB2312"/>
          <w:color w:val="000000"/>
          <w:sz w:val="32"/>
          <w:szCs w:val="32"/>
        </w:rPr>
        <w:t>2072</w:t>
      </w:r>
      <w:r>
        <w:rPr>
          <w:rFonts w:hint="eastAsia" w:ascii="仿宋_GB2312" w:hAnsi="仿宋_GB2312" w:eastAsia="仿宋_GB2312" w:cs="仿宋_GB2312"/>
          <w:color w:val="000000"/>
          <w:sz w:val="32"/>
          <w:szCs w:val="32"/>
        </w:rPr>
        <w:t>名。七个学术硕士点和一个专业学位硕士点，在校研究生</w:t>
      </w:r>
      <w:r>
        <w:rPr>
          <w:rFonts w:hint="eastAsia" w:ascii="仿宋_GB2312" w:hAnsi="仿宋_GB2312" w:eastAsia="仿宋_GB2312" w:cs="仿宋_GB2312"/>
          <w:color w:val="000000"/>
          <w:sz w:val="32"/>
          <w:szCs w:val="32"/>
        </w:rPr>
        <w:t>75</w:t>
      </w:r>
      <w:r>
        <w:rPr>
          <w:rFonts w:hint="eastAsia" w:ascii="仿宋_GB2312" w:hAnsi="仿宋_GB2312" w:eastAsia="仿宋_GB2312" w:cs="仿宋_GB2312"/>
          <w:color w:val="000000"/>
          <w:sz w:val="32"/>
          <w:szCs w:val="32"/>
        </w:rPr>
        <w:t>人。</w:t>
      </w:r>
      <w:r>
        <w:rPr>
          <w:rFonts w:hint="eastAsia" w:ascii="仿宋_GB2312" w:hAnsi="仿宋_GB2312" w:eastAsia="仿宋_GB2312" w:cs="仿宋_GB2312"/>
          <w:color w:val="000000"/>
          <w:sz w:val="32"/>
          <w:szCs w:val="32"/>
        </w:rPr>
        <w:t>学院下设教工党支部</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个，学生党支部</w:t>
      </w:r>
      <w:r>
        <w:rPr>
          <w:rFonts w:hint="eastAsia"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个，有教职工党员</w:t>
      </w:r>
      <w:r>
        <w:rPr>
          <w:rFonts w:hint="eastAsia" w:ascii="仿宋_GB2312" w:hAnsi="仿宋_GB2312" w:eastAsia="仿宋_GB2312" w:cs="仿宋_GB2312"/>
          <w:color w:val="000000"/>
          <w:sz w:val="32"/>
          <w:szCs w:val="32"/>
        </w:rPr>
        <w:t>56</w:t>
      </w:r>
      <w:r>
        <w:rPr>
          <w:rFonts w:hint="eastAsia" w:ascii="仿宋_GB2312" w:hAnsi="仿宋_GB2312" w:eastAsia="仿宋_GB2312" w:cs="仿宋_GB2312"/>
          <w:color w:val="000000"/>
          <w:sz w:val="32"/>
          <w:szCs w:val="32"/>
        </w:rPr>
        <w:t>人，学生党员</w:t>
      </w:r>
      <w:r>
        <w:rPr>
          <w:rFonts w:hint="eastAsia" w:ascii="仿宋_GB2312" w:hAnsi="仿宋_GB2312" w:eastAsia="仿宋_GB2312" w:cs="仿宋_GB2312"/>
          <w:color w:val="000000"/>
          <w:sz w:val="32"/>
          <w:szCs w:val="32"/>
        </w:rPr>
        <w:t>123</w:t>
      </w:r>
      <w:r>
        <w:rPr>
          <w:rFonts w:hint="eastAsia" w:ascii="仿宋_GB2312" w:hAnsi="仿宋_GB2312" w:eastAsia="仿宋_GB2312" w:cs="仿宋_GB2312"/>
          <w:color w:val="000000"/>
          <w:sz w:val="32"/>
          <w:szCs w:val="32"/>
        </w:rPr>
        <w:t>人（含预备党员）。</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一年来，在校党委的正确领导下，</w:t>
      </w:r>
      <w:r>
        <w:rPr>
          <w:rFonts w:hint="eastAsia" w:ascii="仿宋_GB2312" w:hAnsi="仿宋_GB2312" w:eastAsia="仿宋_GB2312" w:cs="仿宋_GB2312"/>
          <w:color w:val="000000"/>
          <w:sz w:val="32"/>
          <w:szCs w:val="32"/>
        </w:rPr>
        <w:t>全院党员和教职工认真学习贯彻党的十九大精神和全国高校思想政治工作会议精神，深入推进“两学一做”学习教育制度化、常态化，围绕“立德树人”根本任务、</w:t>
      </w:r>
      <w:r>
        <w:rPr>
          <w:rFonts w:hint="eastAsia" w:ascii="仿宋_GB2312" w:hAnsi="仿宋_GB2312" w:eastAsia="仿宋_GB2312" w:cs="仿宋_GB2312"/>
          <w:color w:val="000000"/>
          <w:sz w:val="32"/>
          <w:szCs w:val="32"/>
        </w:rPr>
        <w:t>申请博士点和本科评估整改工作，在教学、科研、学科建设、学生管理与党的建设等方面，积极进取，</w:t>
      </w:r>
      <w:r>
        <w:rPr>
          <w:rFonts w:hint="eastAsia" w:ascii="仿宋_GB2312" w:hAnsi="仿宋_GB2312" w:eastAsia="仿宋_GB2312" w:cs="仿宋_GB2312"/>
          <w:color w:val="000000"/>
          <w:sz w:val="32"/>
          <w:szCs w:val="32"/>
        </w:rPr>
        <w:t>求真务实，凝心聚力，开拓创新，取得了一定成绩。先后荣获校“</w:t>
      </w:r>
      <w:r>
        <w:rPr>
          <w:rFonts w:hint="eastAsia" w:ascii="仿宋_GB2312" w:hAnsi="仿宋_GB2312" w:eastAsia="仿宋_GB2312" w:cs="仿宋_GB2312"/>
          <w:color w:val="000000"/>
          <w:sz w:val="32"/>
          <w:szCs w:val="32"/>
        </w:rPr>
        <w:t>2016-2017</w:t>
      </w:r>
      <w:r>
        <w:rPr>
          <w:rFonts w:hint="eastAsia" w:ascii="仿宋_GB2312" w:hAnsi="仿宋_GB2312" w:eastAsia="仿宋_GB2312" w:cs="仿宋_GB2312"/>
          <w:color w:val="000000"/>
          <w:sz w:val="32"/>
          <w:szCs w:val="32"/>
        </w:rPr>
        <w:t>年度先进基层党组织”、“</w:t>
      </w:r>
      <w:r>
        <w:rPr>
          <w:rFonts w:hint="eastAsia" w:ascii="仿宋_GB2312" w:hAnsi="仿宋_GB2312" w:eastAsia="仿宋_GB2312" w:cs="仿宋_GB2312"/>
          <w:color w:val="000000"/>
          <w:sz w:val="32"/>
          <w:szCs w:val="32"/>
        </w:rPr>
        <w:t>2016-2017</w:t>
      </w:r>
      <w:r>
        <w:rPr>
          <w:rFonts w:hint="eastAsia" w:ascii="仿宋_GB2312" w:hAnsi="仿宋_GB2312" w:eastAsia="仿宋_GB2312" w:cs="仿宋_GB2312"/>
          <w:color w:val="000000"/>
          <w:sz w:val="32"/>
          <w:szCs w:val="32"/>
        </w:rPr>
        <w:t>年度绩效考核优秀单位”、“</w:t>
      </w:r>
      <w:r>
        <w:rPr>
          <w:rFonts w:hint="eastAsia" w:ascii="仿宋_GB2312" w:hAnsi="仿宋_GB2312" w:eastAsia="仿宋_GB2312" w:cs="仿宋_GB2312"/>
          <w:color w:val="000000"/>
          <w:sz w:val="32"/>
          <w:szCs w:val="32"/>
        </w:rPr>
        <w:t>2016-2017</w:t>
      </w:r>
      <w:r>
        <w:rPr>
          <w:rFonts w:hint="eastAsia" w:ascii="仿宋_GB2312" w:hAnsi="仿宋_GB2312" w:eastAsia="仿宋_GB2312" w:cs="仿宋_GB2312"/>
          <w:color w:val="000000"/>
          <w:sz w:val="32"/>
          <w:szCs w:val="32"/>
        </w:rPr>
        <w:t>年度学生工作先进集体”等称号。现总结汇报如下：</w:t>
      </w:r>
    </w:p>
    <w:p>
      <w:pPr>
        <w:keepNext w:val="0"/>
        <w:keepLines w:val="0"/>
        <w:pageBreakBefore w:val="0"/>
        <w:widowControl/>
        <w:kinsoku/>
        <w:wordWrap/>
        <w:overflowPunct/>
        <w:topLinePunct w:val="0"/>
        <w:autoSpaceDE/>
        <w:bidi w:val="0"/>
        <w:adjustRightInd/>
        <w:snapToGrid/>
        <w:spacing w:line="560" w:lineRule="exact"/>
        <w:ind w:right="0" w:rightChars="0"/>
        <w:jc w:val="center"/>
        <w:textAlignment w:val="auto"/>
        <w:outlineLvl w:val="0"/>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autoSpaceDE/>
        <w:bidi w:val="0"/>
        <w:adjustRightInd/>
        <w:snapToGrid/>
        <w:spacing w:line="560" w:lineRule="exact"/>
        <w:ind w:right="0" w:rightChars="0"/>
        <w:jc w:val="center"/>
        <w:textAlignment w:val="auto"/>
        <w:outlineLvl w:val="0"/>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第一部分  教学工作</w:t>
      </w:r>
      <w:bookmarkEnd w:id="0"/>
      <w:bookmarkEnd w:id="1"/>
    </w:p>
    <w:p>
      <w:pPr>
        <w:keepNext w:val="0"/>
        <w:keepLines w:val="0"/>
        <w:pageBreakBefore w:val="0"/>
        <w:kinsoku/>
        <w:wordWrap/>
        <w:overflowPunct/>
        <w:topLinePunct w:val="0"/>
        <w:autoSpaceDE/>
        <w:bidi w:val="0"/>
        <w:adjustRightInd/>
        <w:snapToGrid/>
        <w:spacing w:line="560" w:lineRule="exact"/>
        <w:ind w:right="0" w:rightChars="0"/>
        <w:textAlignment w:val="auto"/>
        <w:outlineLvl w:val="1"/>
        <w:rPr>
          <w:rFonts w:hint="eastAsia" w:ascii="仿宋_GB2312" w:hAnsi="仿宋_GB2312" w:eastAsia="仿宋_GB2312" w:cs="仿宋_GB2312"/>
          <w:color w:val="000000"/>
          <w:sz w:val="32"/>
          <w:szCs w:val="32"/>
        </w:rPr>
      </w:pPr>
      <w:bookmarkStart w:id="2" w:name="_Toc501441589"/>
      <w:bookmarkStart w:id="3" w:name="_Toc501461702"/>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一、本科教学任务体量大，但运行秩序良好</w:t>
      </w:r>
      <w:bookmarkEnd w:id="2"/>
      <w:bookmarkEnd w:id="3"/>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年度，商学院承担校本部、经管学院、国际教育学院等多部门本科教学任务。本科教学任务体量巨大，其中仅校本部本科教学，</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年上半年承担</w:t>
      </w:r>
      <w:r>
        <w:rPr>
          <w:rFonts w:hint="eastAsia" w:ascii="仿宋_GB2312" w:hAnsi="仿宋_GB2312" w:eastAsia="仿宋_GB2312" w:cs="仿宋_GB2312"/>
          <w:color w:val="000000"/>
          <w:sz w:val="32"/>
          <w:szCs w:val="32"/>
        </w:rPr>
        <w:t>112</w:t>
      </w:r>
      <w:r>
        <w:rPr>
          <w:rFonts w:hint="eastAsia" w:ascii="仿宋_GB2312" w:hAnsi="仿宋_GB2312" w:eastAsia="仿宋_GB2312" w:cs="仿宋_GB2312"/>
          <w:color w:val="000000"/>
          <w:sz w:val="32"/>
          <w:szCs w:val="32"/>
        </w:rPr>
        <w:t>门次课程教学任务，下半年承担</w:t>
      </w:r>
      <w:r>
        <w:rPr>
          <w:rFonts w:hint="eastAsia" w:ascii="仿宋_GB2312" w:hAnsi="仿宋_GB2312" w:eastAsia="仿宋_GB2312" w:cs="仿宋_GB2312"/>
          <w:color w:val="000000"/>
          <w:sz w:val="32"/>
          <w:szCs w:val="32"/>
        </w:rPr>
        <w:t>106</w:t>
      </w:r>
      <w:r>
        <w:rPr>
          <w:rFonts w:hint="eastAsia" w:ascii="仿宋_GB2312" w:hAnsi="仿宋_GB2312" w:eastAsia="仿宋_GB2312" w:cs="仿宋_GB2312"/>
          <w:color w:val="000000"/>
          <w:sz w:val="32"/>
          <w:szCs w:val="32"/>
        </w:rPr>
        <w:t>门次课程教学任务，全年超</w:t>
      </w:r>
      <w:r>
        <w:rPr>
          <w:rFonts w:hint="eastAsia" w:ascii="仿宋_GB2312" w:hAnsi="仿宋_GB2312" w:eastAsia="仿宋_GB2312" w:cs="仿宋_GB2312"/>
          <w:color w:val="000000"/>
          <w:sz w:val="32"/>
          <w:szCs w:val="32"/>
        </w:rPr>
        <w:t>210</w:t>
      </w:r>
      <w:r>
        <w:rPr>
          <w:rFonts w:hint="eastAsia" w:ascii="仿宋_GB2312" w:hAnsi="仿宋_GB2312" w:eastAsia="仿宋_GB2312" w:cs="仿宋_GB2312"/>
          <w:color w:val="000000"/>
          <w:sz w:val="32"/>
          <w:szCs w:val="32"/>
        </w:rPr>
        <w:t>余门次课程由商学院教师承担运行。教学任务落实到位，教学秩序良好，全院未发生教学事故及未受到教学检查通报批评，圆满完成日常教学管理工作。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4" w:name="_Toc501441590"/>
      <w:bookmarkStart w:id="5" w:name="_Toc501461703"/>
      <w:r>
        <w:rPr>
          <w:rFonts w:hint="eastAsia" w:ascii="仿宋_GB2312" w:hAnsi="仿宋_GB2312" w:eastAsia="仿宋_GB2312" w:cs="仿宋_GB2312"/>
          <w:color w:val="000000"/>
          <w:sz w:val="32"/>
          <w:szCs w:val="32"/>
        </w:rPr>
        <w:t>二、积极推动课程建设</w:t>
      </w:r>
      <w:bookmarkEnd w:id="4"/>
      <w:bookmarkEnd w:id="5"/>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学院加快已立项校级精品资源共享课的建设力度。</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年上半年，由我院单海鹏老师申请的《实验经济学》课程获批立项建设校级精品视频公开课。下半年，由忻红老师负责的校级精品课《市场预测与决策》课程顺利完成结项。</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学院教师积极参加课程建设竞赛，在</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年河北经贸大学教学信息化大赛中，我院张昌廷、安乔治老师分获微课组一等奖及三等奖；同时，张昌廷老师在省教学信息化大赛中获得二等奖。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6" w:name="_Toc501441591"/>
      <w:bookmarkStart w:id="7" w:name="_Toc501461704"/>
      <w:r>
        <w:rPr>
          <w:rFonts w:hint="eastAsia" w:ascii="仿宋_GB2312" w:hAnsi="仿宋_GB2312" w:eastAsia="仿宋_GB2312" w:cs="仿宋_GB2312"/>
          <w:color w:val="000000"/>
          <w:sz w:val="32"/>
          <w:szCs w:val="32"/>
        </w:rPr>
        <w:t>三、教学改革与创新创业教育稳步推进</w:t>
      </w:r>
      <w:bookmarkEnd w:id="6"/>
      <w:bookmarkEnd w:id="7"/>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大学生创新创业工作稳步推进，</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年共立项国家级大学生创新创业项目</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项，立项省级大学生创新创业项目</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项，并完成校级立项指标要求。</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学院重视青年教师讲课基本技能及竞赛参与。我院张润锋老师、和彦鹏老师在</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年校青年教师讲课比赛中均获得二等奖。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8" w:name="_Toc501461705"/>
      <w:bookmarkStart w:id="9" w:name="_Toc501441592"/>
      <w:r>
        <w:rPr>
          <w:rFonts w:hint="eastAsia" w:ascii="仿宋_GB2312" w:hAnsi="仿宋_GB2312" w:eastAsia="仿宋_GB2312" w:cs="仿宋_GB2312"/>
          <w:color w:val="000000"/>
          <w:sz w:val="32"/>
          <w:szCs w:val="32"/>
        </w:rPr>
        <w:t>四、积极开展教学研究</w:t>
      </w:r>
      <w:bookmarkEnd w:id="8"/>
      <w:bookmarkEnd w:id="9"/>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积极组织学院教师申报各级教学教改课题，</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年度共有</w:t>
      </w:r>
      <w:r>
        <w:rPr>
          <w:rFonts w:hint="eastAsia"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项申报课题获批立项。其中省级立项</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项，校级重点立项</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项，校级一般立项</w:t>
      </w:r>
      <w:r>
        <w:rPr>
          <w:rFonts w:hint="eastAsia"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项。穆娟老师获批河北省高等教育学会</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年度高等教育科学研究课题立项；王法涛老师获批</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2018</w:t>
      </w:r>
      <w:r>
        <w:rPr>
          <w:rFonts w:hint="eastAsia" w:ascii="仿宋_GB2312" w:hAnsi="仿宋_GB2312" w:eastAsia="仿宋_GB2312" w:cs="仿宋_GB2312"/>
          <w:color w:val="000000"/>
          <w:sz w:val="32"/>
          <w:szCs w:val="32"/>
        </w:rPr>
        <w:t>年度河北省高等教育教学改革研究与实践项目立项；孙永珍老师获批校级教学研究重点项目立项，李珊珊、高云龙、王法涛、刘振滨、刘哲君、王小平等教师分别均获批校级教学研究项目立项，完成校级一般项目立项指标要求。</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年第七届河北省高等教育教学成果奖的评选中，我院教师戎素云、张少楠、殷向晖参与成果分获省级二等奖及三等奖。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10" w:name="_Toc501441593"/>
      <w:bookmarkStart w:id="11" w:name="_Toc501461706"/>
      <w:r>
        <w:rPr>
          <w:rFonts w:hint="eastAsia" w:ascii="仿宋_GB2312" w:hAnsi="仿宋_GB2312" w:eastAsia="仿宋_GB2312" w:cs="仿宋_GB2312"/>
          <w:color w:val="000000"/>
          <w:sz w:val="32"/>
          <w:szCs w:val="32"/>
        </w:rPr>
        <w:t>五、教学效果良好</w:t>
      </w:r>
      <w:bookmarkEnd w:id="10"/>
      <w:bookmarkEnd w:id="11"/>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我院学生积极参加学科竞赛和创新创业大赛。并在比赛中获得佳绩。</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年，我院学生共获得国家级奖项</w:t>
      </w:r>
      <w:r>
        <w:rPr>
          <w:rFonts w:hint="eastAsia"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项，省级或全国性奖项</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项，校级奖项</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项。其中，由我院任孟义、张源滢、孙啸、刘港等同学组成的“燕赵合伙人”团队荣获第七届全国大学生电子商务“创新、创意及创业”挑战赛总决赛一等奖；由我院学生周德奇、林旭等五人组成的新奇点团队，其作品《“光伏</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”视角下我国贫困县实施精准扶贫战略的对策思考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基于平山县的实例研究》荣获第十五届“挑战杯”全国大学生课外学术科技作品竞赛国赛三等奖。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此外，我院还获得第十五届“挑战杯”全国大学生课外学术科技作品竞赛校内选拔赛优秀组织奖。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毕业生毕业质量提高。我院赵天琦、刘莹、吴若楠、沈冉等四位同学获得荣誉学士称号。</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12" w:name="_Toc501461707"/>
      <w:bookmarkStart w:id="13" w:name="_Toc501441594"/>
      <w:r>
        <w:rPr>
          <w:rFonts w:hint="eastAsia" w:ascii="仿宋_GB2312" w:hAnsi="仿宋_GB2312" w:eastAsia="仿宋_GB2312" w:cs="仿宋_GB2312"/>
          <w:color w:val="000000"/>
          <w:sz w:val="32"/>
          <w:szCs w:val="32"/>
        </w:rPr>
        <w:t>六、推进规范化制度建设</w:t>
      </w:r>
      <w:bookmarkEnd w:id="12"/>
      <w:bookmarkEnd w:id="13"/>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稳步推进本科审核评估整改工作。学院贯彻以评促建的思想，围绕审核评估整改要求，特别是针对评估专家组提出及学院评估中发现的问题，制定了《商学院本科教学审核评估整改工作任务安排》，强化责任落实，着力提升教学水平。在对</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年度本科审核评估整改工作进行系统梳理及总结基础上，学院撰写了《河北经贸大学本科教学审核评估商学院整改工作报告》，评估整改工作取得一定成效。</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推进教风学风规范化制度建设。</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月，学院制定了《河北经贸大学商学院加强教风学风建设工作方案》。方案坚持以立德树人为根本，围绕我院高层次复合型人才培养的目标要求，将教风学风建设工作与推进我院一流学科建设相结合，与本科审核评估整改相结合，引导教师自觉遵守职业道德，承担育人职责。教风学风建设工作展开以来，学院未发生教学事故及教学过失情况，教风学风稳中向好。</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加强制度建设，完善教学服务。针对新情况、新问题，积极探索，先后制定《商学院教师教学质量考核工作实施办法》、《商学院监考工作安排管理办法（试行）》等文件。</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jc w:val="center"/>
        <w:textAlignment w:val="auto"/>
        <w:outlineLvl w:val="0"/>
        <w:rPr>
          <w:rFonts w:hint="eastAsia" w:ascii="黑体" w:hAnsi="黑体" w:eastAsia="黑体" w:cs="黑体"/>
          <w:b w:val="0"/>
          <w:bCs w:val="0"/>
          <w:color w:val="000000"/>
          <w:sz w:val="32"/>
          <w:szCs w:val="32"/>
        </w:rPr>
      </w:pPr>
      <w:bookmarkStart w:id="14" w:name="_Toc501461708"/>
      <w:bookmarkStart w:id="15" w:name="_Toc501441595"/>
      <w:r>
        <w:rPr>
          <w:rFonts w:hint="eastAsia" w:ascii="黑体" w:hAnsi="黑体" w:eastAsia="黑体" w:cs="黑体"/>
          <w:b w:val="0"/>
          <w:bCs w:val="0"/>
          <w:color w:val="000000"/>
          <w:sz w:val="32"/>
          <w:szCs w:val="32"/>
        </w:rPr>
        <w:t>第二部分  科研工作</w:t>
      </w:r>
      <w:bookmarkEnd w:id="14"/>
      <w:bookmarkEnd w:id="15"/>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16" w:name="_Toc501441597"/>
      <w:bookmarkStart w:id="17" w:name="_Toc501441710"/>
      <w:bookmarkStart w:id="18" w:name="_Toc501461710"/>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一、科研项目</w:t>
      </w:r>
      <w:bookmarkEnd w:id="16"/>
      <w:bookmarkEnd w:id="17"/>
      <w:bookmarkEnd w:id="18"/>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年，我院共有</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个省部级课题获得立项，其中，河北省科技厅项目</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项：高艳：河北省产业大数据挖掘及其专题地图的自动生成。河北省社科基金项目</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项：王小平：“互联网</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”促进环保服务业转型升级研究与政策建议横向课题；马锦生：金融化背景下金融不稳定性假说的再阐释；孙永珍：制度变迁视域下河北省蔬菜冷链物流发展战略研究。横向课题（到账经费</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万元以上）</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项：赵培红：因地制宜加快培育特色小城镇。</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19" w:name="_Toc501461711"/>
      <w:bookmarkStart w:id="20" w:name="_Toc501441711"/>
      <w:bookmarkStart w:id="21" w:name="_Toc501441598"/>
      <w:r>
        <w:rPr>
          <w:rFonts w:hint="eastAsia" w:ascii="仿宋_GB2312" w:hAnsi="仿宋_GB2312" w:eastAsia="仿宋_GB2312" w:cs="仿宋_GB2312"/>
          <w:color w:val="000000"/>
          <w:sz w:val="32"/>
          <w:szCs w:val="32"/>
        </w:rPr>
        <w:t>二、科研成果</w:t>
      </w:r>
      <w:bookmarkEnd w:id="19"/>
      <w:bookmarkEnd w:id="20"/>
      <w:bookmarkEnd w:id="21"/>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年，商学院出版学术专著</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部，分别为王小平《产业绿色转型与环保服务业发展》和高云龙《制度成本对出口贸易的影响研究》。发表二档学术论文</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篇：李伟：基于消费者效用变动的软件最优发行时间；柴国俊：征地补偿的多与寡：公平与效率视角；柴国俊：征地、金融约束与劳动力流动；马书刚：基于绩效</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弹性视角的制造企业供应商评价研究；李伟：</w:t>
      </w:r>
      <w:r>
        <w:rPr>
          <w:rFonts w:hint="eastAsia" w:ascii="仿宋_GB2312" w:hAnsi="仿宋_GB2312" w:eastAsia="仿宋_GB2312" w:cs="仿宋_GB2312"/>
          <w:color w:val="000000"/>
          <w:sz w:val="32"/>
          <w:szCs w:val="32"/>
        </w:rPr>
        <w:t>Mathematical Formulation and Analysis of the Optimal Launch Timing for Mobile Applications with Perceived Value and Network Effect</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22" w:name="_Toc501441599"/>
      <w:bookmarkStart w:id="23" w:name="_Toc501441712"/>
      <w:bookmarkStart w:id="24" w:name="_Toc501461712"/>
      <w:r>
        <w:rPr>
          <w:rFonts w:hint="eastAsia" w:ascii="仿宋_GB2312" w:hAnsi="仿宋_GB2312" w:eastAsia="仿宋_GB2312" w:cs="仿宋_GB2312"/>
          <w:color w:val="000000"/>
          <w:sz w:val="32"/>
          <w:szCs w:val="32"/>
        </w:rPr>
        <w:t>三、学术交流</w:t>
      </w:r>
      <w:bookmarkEnd w:id="22"/>
      <w:bookmarkEnd w:id="23"/>
      <w:bookmarkEnd w:id="24"/>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年，我院老师参加学术会议</w:t>
      </w:r>
      <w:r>
        <w:rPr>
          <w:rFonts w:hint="eastAsia" w:ascii="仿宋_GB2312" w:hAnsi="仿宋_GB2312" w:eastAsia="仿宋_GB2312" w:cs="仿宋_GB2312"/>
          <w:color w:val="000000"/>
          <w:sz w:val="32"/>
          <w:szCs w:val="32"/>
        </w:rPr>
        <w:t>36</w:t>
      </w:r>
      <w:r>
        <w:rPr>
          <w:rFonts w:hint="eastAsia" w:ascii="仿宋_GB2312" w:hAnsi="仿宋_GB2312" w:eastAsia="仿宋_GB2312" w:cs="仿宋_GB2312"/>
          <w:color w:val="000000"/>
          <w:sz w:val="32"/>
          <w:szCs w:val="32"/>
        </w:rPr>
        <w:t>场次、组织学术报告</w:t>
      </w:r>
      <w:r>
        <w:rPr>
          <w:rFonts w:hint="eastAsia"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场、组织召开学术会议</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次（包括河北省商业经济学会</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年会、中国价格协会高校价格理论与教学研究会第</w:t>
      </w:r>
      <w:r>
        <w:rPr>
          <w:rFonts w:hint="eastAsia" w:ascii="仿宋_GB2312" w:hAnsi="仿宋_GB2312" w:eastAsia="仿宋_GB2312" w:cs="仿宋_GB2312"/>
          <w:color w:val="000000"/>
          <w:sz w:val="32"/>
          <w:szCs w:val="32"/>
        </w:rPr>
        <w:t>33</w:t>
      </w:r>
      <w:r>
        <w:rPr>
          <w:rFonts w:hint="eastAsia" w:ascii="仿宋_GB2312" w:hAnsi="仿宋_GB2312" w:eastAsia="仿宋_GB2312" w:cs="仿宋_GB2312"/>
          <w:color w:val="000000"/>
          <w:sz w:val="32"/>
          <w:szCs w:val="32"/>
        </w:rPr>
        <w:t>次年会、河北经贸大学应用经济学国家一流学科建设研讨会）</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25" w:name="_Toc501461713"/>
      <w:bookmarkStart w:id="26" w:name="_Toc501441600"/>
      <w:bookmarkStart w:id="27" w:name="_Toc501441713"/>
      <w:r>
        <w:rPr>
          <w:rFonts w:hint="eastAsia" w:ascii="仿宋_GB2312" w:hAnsi="仿宋_GB2312" w:eastAsia="仿宋_GB2312" w:cs="仿宋_GB2312"/>
          <w:color w:val="000000"/>
          <w:sz w:val="32"/>
          <w:szCs w:val="32"/>
        </w:rPr>
        <w:t>四、平台建设</w:t>
      </w:r>
      <w:bookmarkEnd w:id="25"/>
      <w:bookmarkEnd w:id="26"/>
      <w:bookmarkEnd w:id="27"/>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我院现有省级平台</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个：河北省高等学校人文社会科学重点研究基地“现代商贸服务业研究中心”。</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年，基地成员共发表论文</w:t>
      </w:r>
      <w:r>
        <w:rPr>
          <w:rFonts w:hint="eastAsia" w:ascii="仿宋_GB2312" w:hAnsi="仿宋_GB2312" w:eastAsia="仿宋_GB2312" w:cs="仿宋_GB2312"/>
          <w:color w:val="000000"/>
          <w:sz w:val="32"/>
          <w:szCs w:val="32"/>
        </w:rPr>
        <w:t>24</w:t>
      </w:r>
      <w:r>
        <w:rPr>
          <w:rFonts w:hint="eastAsia" w:ascii="仿宋_GB2312" w:hAnsi="仿宋_GB2312" w:eastAsia="仿宋_GB2312" w:cs="仿宋_GB2312"/>
          <w:color w:val="000000"/>
          <w:sz w:val="32"/>
          <w:szCs w:val="32"/>
        </w:rPr>
        <w:t>篇，出版专著</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部。其中</w:t>
      </w:r>
      <w:r>
        <w:rPr>
          <w:rFonts w:hint="eastAsia" w:ascii="仿宋_GB2312" w:hAnsi="仿宋_GB2312" w:eastAsia="仿宋_GB2312" w:cs="仿宋_GB2312"/>
          <w:color w:val="000000"/>
          <w:sz w:val="32"/>
          <w:szCs w:val="32"/>
        </w:rPr>
        <w:t>CSSCI</w:t>
      </w:r>
      <w:r>
        <w:rPr>
          <w:rFonts w:hint="eastAsia" w:ascii="仿宋_GB2312" w:hAnsi="仿宋_GB2312" w:eastAsia="仿宋_GB2312" w:cs="仿宋_GB2312"/>
          <w:color w:val="000000"/>
          <w:sz w:val="32"/>
          <w:szCs w:val="32"/>
        </w:rPr>
        <w:t>期刊论文</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篇，北大核心期刊论文</w:t>
      </w:r>
      <w:r>
        <w:rPr>
          <w:rFonts w:hint="eastAsia" w:ascii="仿宋_GB2312" w:hAnsi="仿宋_GB2312" w:eastAsia="仿宋_GB2312" w:cs="仿宋_GB2312"/>
          <w:color w:val="000000"/>
          <w:sz w:val="32"/>
          <w:szCs w:val="32"/>
        </w:rPr>
        <w:t>11</w:t>
      </w:r>
      <w:r>
        <w:rPr>
          <w:rFonts w:hint="eastAsia" w:ascii="仿宋_GB2312" w:hAnsi="仿宋_GB2312" w:eastAsia="仿宋_GB2312" w:cs="仿宋_GB2312"/>
          <w:color w:val="000000"/>
          <w:sz w:val="32"/>
          <w:szCs w:val="32"/>
        </w:rPr>
        <w:t>篇。基地成员承担各类课题</w:t>
      </w:r>
      <w:r>
        <w:rPr>
          <w:rFonts w:hint="eastAsia"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年，基地学生发表论文</w:t>
      </w:r>
      <w:r>
        <w:rPr>
          <w:rFonts w:hint="eastAsia" w:ascii="仿宋_GB2312" w:hAnsi="仿宋_GB2312" w:eastAsia="仿宋_GB2312" w:cs="仿宋_GB2312"/>
          <w:color w:val="000000"/>
          <w:sz w:val="32"/>
          <w:szCs w:val="32"/>
        </w:rPr>
        <w:t>24</w:t>
      </w:r>
      <w:r>
        <w:rPr>
          <w:rFonts w:hint="eastAsia" w:ascii="仿宋_GB2312" w:hAnsi="仿宋_GB2312" w:eastAsia="仿宋_GB2312" w:cs="仿宋_GB2312"/>
          <w:color w:val="000000"/>
          <w:sz w:val="32"/>
          <w:szCs w:val="32"/>
        </w:rPr>
        <w:t>篇，另有</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名学生参与编写学术专著。基地老师指导学生获得省级以上奖项</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项。邀请校外著名专家学者作学术报告</w:t>
      </w:r>
      <w:r>
        <w:rPr>
          <w:rFonts w:hint="eastAsia"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场，取得较好效果，对基地的科研、学科建设等工作起到了积极的作用。</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28" w:name="_Toc501461714"/>
      <w:bookmarkStart w:id="29" w:name="_Toc501441714"/>
      <w:bookmarkStart w:id="30" w:name="_Toc501441601"/>
      <w:r>
        <w:rPr>
          <w:rFonts w:hint="eastAsia" w:ascii="仿宋_GB2312" w:hAnsi="仿宋_GB2312" w:eastAsia="仿宋_GB2312" w:cs="仿宋_GB2312"/>
          <w:color w:val="000000"/>
          <w:sz w:val="32"/>
          <w:szCs w:val="32"/>
        </w:rPr>
        <w:t>五、科研培训</w:t>
      </w:r>
      <w:bookmarkEnd w:id="28"/>
      <w:bookmarkEnd w:id="29"/>
      <w:bookmarkEnd w:id="30"/>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首先，我院积极组织老师们申报各级各类课题。其次，我院专门组织老师参加</w:t>
      </w:r>
      <w:r>
        <w:rPr>
          <w:rFonts w:hint="eastAsia" w:ascii="仿宋_GB2312" w:hAnsi="仿宋_GB2312" w:eastAsia="仿宋_GB2312" w:cs="仿宋_GB2312"/>
          <w:color w:val="000000"/>
          <w:sz w:val="32"/>
          <w:szCs w:val="32"/>
        </w:rPr>
        <w:t>STATA</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ARC-GIS</w:t>
      </w:r>
      <w:r>
        <w:rPr>
          <w:rFonts w:hint="eastAsia" w:ascii="仿宋_GB2312" w:hAnsi="仿宋_GB2312" w:eastAsia="仿宋_GB2312" w:cs="仿宋_GB2312"/>
          <w:color w:val="000000"/>
          <w:sz w:val="32"/>
          <w:szCs w:val="32"/>
        </w:rPr>
        <w:t>等应用软件使用和高水平论文写作的专题培训；在校内组织听取他高校教师介绍成功申报经验和体会。</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31" w:name="_Toc501461715"/>
      <w:bookmarkStart w:id="32" w:name="_Toc501441715"/>
      <w:bookmarkStart w:id="33" w:name="_Toc501441602"/>
      <w:r>
        <w:rPr>
          <w:rFonts w:hint="eastAsia" w:ascii="仿宋_GB2312" w:hAnsi="仿宋_GB2312" w:eastAsia="仿宋_GB2312" w:cs="仿宋_GB2312"/>
          <w:color w:val="000000"/>
          <w:sz w:val="32"/>
          <w:szCs w:val="32"/>
        </w:rPr>
        <w:t>六、完成常规科研管理工作</w:t>
      </w:r>
      <w:bookmarkEnd w:id="31"/>
      <w:bookmarkEnd w:id="32"/>
      <w:bookmarkEnd w:id="33"/>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包括组织申报课题、科研兑奖、科研集体申报、职称评审中的科研评分等工作。</w:t>
      </w:r>
    </w:p>
    <w:p>
      <w:pPr>
        <w:keepNext w:val="0"/>
        <w:keepLines w:val="0"/>
        <w:pageBreakBefore w:val="0"/>
        <w:kinsoku/>
        <w:wordWrap/>
        <w:overflowPunct/>
        <w:topLinePunct w:val="0"/>
        <w:autoSpaceDE/>
        <w:bidi w:val="0"/>
        <w:adjustRightInd/>
        <w:snapToGrid/>
        <w:spacing w:line="560" w:lineRule="exact"/>
        <w:ind w:right="0" w:rightChars="0"/>
        <w:textAlignment w:val="auto"/>
        <w:outlineLvl w:val="1"/>
        <w:rPr>
          <w:rFonts w:hint="eastAsia" w:ascii="仿宋_GB2312" w:hAnsi="仿宋_GB2312" w:eastAsia="仿宋_GB2312" w:cs="仿宋_GB2312"/>
          <w:color w:val="000000"/>
          <w:sz w:val="32"/>
          <w:szCs w:val="32"/>
        </w:rPr>
      </w:pPr>
      <w:bookmarkStart w:id="34" w:name="_Toc501461716"/>
      <w:bookmarkStart w:id="35" w:name="_Toc501441603"/>
    </w:p>
    <w:p>
      <w:pPr>
        <w:keepNext w:val="0"/>
        <w:keepLines w:val="0"/>
        <w:pageBreakBefore w:val="0"/>
        <w:kinsoku/>
        <w:wordWrap/>
        <w:overflowPunct/>
        <w:topLinePunct w:val="0"/>
        <w:autoSpaceDE/>
        <w:bidi w:val="0"/>
        <w:adjustRightInd/>
        <w:snapToGrid/>
        <w:spacing w:line="560" w:lineRule="exact"/>
        <w:ind w:right="0" w:rightChars="0"/>
        <w:jc w:val="center"/>
        <w:textAlignment w:val="auto"/>
        <w:outlineLvl w:val="1"/>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第三部分  学科建设</w:t>
      </w:r>
      <w:bookmarkEnd w:id="34"/>
      <w:bookmarkEnd w:id="35"/>
      <w:r>
        <w:rPr>
          <w:rFonts w:hint="eastAsia" w:ascii="黑体" w:hAnsi="黑体" w:eastAsia="黑体" w:cs="黑体"/>
          <w:b w:val="0"/>
          <w:bCs w:val="0"/>
          <w:color w:val="000000"/>
          <w:sz w:val="32"/>
          <w:szCs w:val="32"/>
        </w:rPr>
        <w:t>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目前我院的学科建设任务包括：申博学科应用经济学，以我院为依托，兼跨多个教学科研部门；国家一流学科应用经济学；省级重点学科：产业经济学和理论经济学；校级重点学科国际贸易学。</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36" w:name="_Toc501441604"/>
      <w:bookmarkStart w:id="37" w:name="_Toc501441717"/>
      <w:bookmarkStart w:id="38" w:name="_Toc501461717"/>
      <w:r>
        <w:rPr>
          <w:rFonts w:hint="eastAsia" w:ascii="仿宋_GB2312" w:hAnsi="仿宋_GB2312" w:eastAsia="仿宋_GB2312" w:cs="仿宋_GB2312"/>
          <w:color w:val="000000"/>
          <w:sz w:val="32"/>
          <w:szCs w:val="32"/>
        </w:rPr>
        <w:t>一、学科建设规划与执行</w:t>
      </w:r>
      <w:bookmarkEnd w:id="36"/>
      <w:bookmarkEnd w:id="37"/>
      <w:bookmarkEnd w:id="38"/>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院有学科建设规划，规划目标明确、措施可操作，实现措施得力。学院党政联席会议两次专门研究国家一流学科建设工作，对年度工作目标进行了梳理和分析，并在广泛征求意见的基础上，制订了《商学院推进国家一流学科建设的实施办法》、一流学科和重点学科的</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年度学科资金使用方案和可行性报告。七月份还召开了应用经济学一和流学科建设研讨会，邀请校内外专家共同深入探讨学科建设的思路。全面完成年度学科建设工作计划要求，学科建设有成效。</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39" w:name="_Toc501441605"/>
      <w:bookmarkStart w:id="40" w:name="_Toc501441718"/>
      <w:bookmarkStart w:id="41" w:name="_Toc501461718"/>
      <w:r>
        <w:rPr>
          <w:rFonts w:hint="eastAsia" w:ascii="仿宋_GB2312" w:hAnsi="仿宋_GB2312" w:eastAsia="仿宋_GB2312" w:cs="仿宋_GB2312"/>
          <w:color w:val="000000"/>
          <w:sz w:val="32"/>
          <w:szCs w:val="32"/>
        </w:rPr>
        <w:t>二、学科建设经费管理</w:t>
      </w:r>
      <w:bookmarkEnd w:id="39"/>
      <w:bookmarkEnd w:id="40"/>
      <w:bookmarkEnd w:id="41"/>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学科建设相关经费管理与使用制度完备，按时编制并提交学科经费预算，且预算合理。制订了《</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年度河北省重点学科产业经济学学科建设项目预算与可行性报告》、《</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年度河北省重点学科理论经济学学科建设项目预算与可行性报告》、《商学院</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年度“双一流”学科资金使用方案》、《商学院</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年度重点学科资金使用方案》。到</w:t>
      </w:r>
      <w:r>
        <w:rPr>
          <w:rFonts w:hint="eastAsia"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月份今年的学科资金全部按计划支出完毕。学科建设经费使用效果良好，成为学科队伍建设、科研成果产出以及人才培养的有力支撑。</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42" w:name="_Toc501441606"/>
      <w:bookmarkStart w:id="43" w:name="_Toc501441719"/>
      <w:bookmarkStart w:id="44" w:name="_Toc501461719"/>
      <w:r>
        <w:rPr>
          <w:rFonts w:hint="eastAsia" w:ascii="仿宋_GB2312" w:hAnsi="仿宋_GB2312" w:eastAsia="仿宋_GB2312" w:cs="仿宋_GB2312"/>
          <w:color w:val="000000"/>
          <w:sz w:val="32"/>
          <w:szCs w:val="32"/>
        </w:rPr>
        <w:t>三、学科队伍建设</w:t>
      </w:r>
      <w:bookmarkEnd w:id="42"/>
      <w:bookmarkEnd w:id="43"/>
      <w:bookmarkEnd w:id="44"/>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学科研究方向稳定，特色突出。首席学科带头人及各学科方向带头人符合学科带头人遴选条件。</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年共引进博士</w:t>
      </w:r>
      <w:r>
        <w:rPr>
          <w:rFonts w:hint="eastAsia" w:ascii="仿宋_GB2312" w:hAnsi="仿宋_GB2312" w:eastAsia="仿宋_GB2312" w:cs="仿宋_GB2312"/>
          <w:color w:val="000000"/>
          <w:sz w:val="32"/>
          <w:szCs w:val="32"/>
        </w:rPr>
        <w:t>14</w:t>
      </w:r>
      <w:r>
        <w:rPr>
          <w:rFonts w:hint="eastAsia" w:ascii="仿宋_GB2312" w:hAnsi="仿宋_GB2312" w:eastAsia="仿宋_GB2312" w:cs="仿宋_GB2312"/>
          <w:color w:val="000000"/>
          <w:sz w:val="32"/>
          <w:szCs w:val="32"/>
        </w:rPr>
        <w:t>人。学科队伍博士比例达到</w:t>
      </w:r>
      <w:r>
        <w:rPr>
          <w:rFonts w:hint="eastAsia" w:ascii="仿宋_GB2312" w:hAnsi="仿宋_GB2312" w:eastAsia="仿宋_GB2312" w:cs="仿宋_GB2312"/>
          <w:color w:val="000000"/>
          <w:sz w:val="32"/>
          <w:szCs w:val="32"/>
        </w:rPr>
        <w:t>80%</w:t>
      </w:r>
      <w:r>
        <w:rPr>
          <w:rFonts w:hint="eastAsia" w:ascii="仿宋_GB2312" w:hAnsi="仿宋_GB2312" w:eastAsia="仿宋_GB2312" w:cs="仿宋_GB2312"/>
          <w:color w:val="000000"/>
          <w:sz w:val="32"/>
          <w:szCs w:val="32"/>
        </w:rPr>
        <w:t>以上，高级职称比例在</w:t>
      </w:r>
      <w:r>
        <w:rPr>
          <w:rFonts w:hint="eastAsia" w:ascii="仿宋_GB2312" w:hAnsi="仿宋_GB2312" w:eastAsia="仿宋_GB2312" w:cs="仿宋_GB2312"/>
          <w:color w:val="000000"/>
          <w:sz w:val="32"/>
          <w:szCs w:val="32"/>
        </w:rPr>
        <w:t>70%</w:t>
      </w:r>
      <w:r>
        <w:rPr>
          <w:rFonts w:hint="eastAsia" w:ascii="仿宋_GB2312" w:hAnsi="仿宋_GB2312" w:eastAsia="仿宋_GB2312" w:cs="仿宋_GB2312"/>
          <w:color w:val="000000"/>
          <w:sz w:val="32"/>
          <w:szCs w:val="32"/>
        </w:rPr>
        <w:t>以上，中青年教师比例为</w:t>
      </w:r>
      <w:r>
        <w:rPr>
          <w:rFonts w:hint="eastAsia" w:ascii="仿宋_GB2312" w:hAnsi="仿宋_GB2312" w:eastAsia="仿宋_GB2312" w:cs="仿宋_GB2312"/>
          <w:color w:val="000000"/>
          <w:sz w:val="32"/>
          <w:szCs w:val="32"/>
        </w:rPr>
        <w:t>51%</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45" w:name="_Toc501441720"/>
      <w:bookmarkStart w:id="46" w:name="_Toc501441607"/>
      <w:bookmarkStart w:id="47" w:name="_Toc501461720"/>
      <w:r>
        <w:rPr>
          <w:rFonts w:hint="eastAsia" w:ascii="仿宋_GB2312" w:hAnsi="仿宋_GB2312" w:eastAsia="仿宋_GB2312" w:cs="仿宋_GB2312"/>
          <w:color w:val="000000"/>
          <w:sz w:val="32"/>
          <w:szCs w:val="32"/>
        </w:rPr>
        <w:t>四、学科评估与学位点建设</w:t>
      </w:r>
      <w:bookmarkEnd w:id="45"/>
      <w:bookmarkEnd w:id="46"/>
      <w:bookmarkEnd w:id="47"/>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按上级布置，六月份收集填报完成了一流学科建设数据信息采集工作。在七月份开展的学科绩效评估中，完成了一流学科、两个省重点学科和省级基地</w:t>
      </w:r>
      <w:r>
        <w:rPr>
          <w:rFonts w:hint="eastAsia" w:ascii="仿宋_GB2312" w:hAnsi="仿宋_GB2312" w:eastAsia="仿宋_GB2312" w:cs="仿宋_GB2312"/>
          <w:color w:val="000000"/>
          <w:sz w:val="32"/>
          <w:szCs w:val="32"/>
        </w:rPr>
        <w:t>2014-2016</w:t>
      </w:r>
      <w:r>
        <w:rPr>
          <w:rFonts w:hint="eastAsia" w:ascii="仿宋_GB2312" w:hAnsi="仿宋_GB2312" w:eastAsia="仿宋_GB2312" w:cs="仿宋_GB2312"/>
          <w:color w:val="000000"/>
          <w:sz w:val="32"/>
          <w:szCs w:val="32"/>
        </w:rPr>
        <w:t>各年度的绩效评估材料组编，整理出十本学科绩效评估材料。在学位点建设方面，按照学校的安排部署，完成了理论经济学一级学科招收硕士研究生的准备工作。有两篇硕士学位论文被评为校级优秀论文。</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48" w:name="_Toc501441608"/>
      <w:bookmarkStart w:id="49" w:name="_Toc501441721"/>
      <w:bookmarkStart w:id="50" w:name="_Toc501461721"/>
      <w:r>
        <w:rPr>
          <w:rFonts w:hint="eastAsia" w:ascii="仿宋_GB2312" w:hAnsi="仿宋_GB2312" w:eastAsia="仿宋_GB2312" w:cs="仿宋_GB2312"/>
          <w:color w:val="000000"/>
          <w:sz w:val="32"/>
          <w:szCs w:val="32"/>
        </w:rPr>
        <w:t>五、申博学科专项工作</w:t>
      </w:r>
      <w:bookmarkEnd w:id="48"/>
      <w:bookmarkEnd w:id="49"/>
      <w:bookmarkEnd w:id="50"/>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年，我院将申博工作作为重大任务，牵头承担了应用经济学申博学科材料申报。经过多次讨论、多次修改、多次论证，在</w:t>
      </w:r>
      <w:r>
        <w:rPr>
          <w:rFonts w:hint="eastAsia"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月份省级评审中，应用经济学申博学科获得通过。</w:t>
      </w:r>
    </w:p>
    <w:p>
      <w:pPr>
        <w:keepNext w:val="0"/>
        <w:keepLines w:val="0"/>
        <w:pageBreakBefore w:val="0"/>
        <w:kinsoku/>
        <w:wordWrap/>
        <w:overflowPunct/>
        <w:topLinePunct w:val="0"/>
        <w:autoSpaceDE/>
        <w:bidi w:val="0"/>
        <w:adjustRightInd/>
        <w:snapToGrid/>
        <w:spacing w:line="560" w:lineRule="exact"/>
        <w:ind w:right="0" w:rightChars="0" w:firstLine="640" w:firstLineChars="200"/>
        <w:jc w:val="center"/>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jc w:val="center"/>
        <w:textAlignment w:val="auto"/>
        <w:outlineLvl w:val="0"/>
        <w:rPr>
          <w:rFonts w:hint="eastAsia" w:ascii="黑体" w:hAnsi="黑体" w:eastAsia="黑体" w:cs="黑体"/>
          <w:b w:val="0"/>
          <w:bCs w:val="0"/>
          <w:color w:val="000000"/>
          <w:sz w:val="32"/>
          <w:szCs w:val="32"/>
        </w:rPr>
      </w:pPr>
      <w:bookmarkStart w:id="51" w:name="_Toc501441609"/>
      <w:bookmarkStart w:id="52" w:name="_Toc501461722"/>
      <w:r>
        <w:rPr>
          <w:rFonts w:hint="eastAsia" w:ascii="黑体" w:hAnsi="黑体" w:eastAsia="黑体" w:cs="黑体"/>
          <w:b w:val="0"/>
          <w:bCs w:val="0"/>
          <w:color w:val="000000"/>
          <w:sz w:val="32"/>
          <w:szCs w:val="32"/>
        </w:rPr>
        <w:t>第四部分  学生工作</w:t>
      </w:r>
      <w:bookmarkEnd w:id="51"/>
      <w:bookmarkEnd w:id="52"/>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53" w:name="_Toc501461723"/>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★本科生工作</w:t>
      </w:r>
      <w:bookmarkEnd w:id="53"/>
    </w:p>
    <w:p>
      <w:pPr>
        <w:keepNext w:val="0"/>
        <w:keepLines w:val="0"/>
        <w:pageBreakBefore w:val="0"/>
        <w:kinsoku/>
        <w:wordWrap/>
        <w:overflowPunct/>
        <w:topLinePunct w:val="0"/>
        <w:autoSpaceDE/>
        <w:bidi w:val="0"/>
        <w:adjustRightInd/>
        <w:snapToGrid/>
        <w:spacing w:line="560" w:lineRule="exact"/>
        <w:ind w:left="680" w:right="0" w:rightChars="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一、加强组织领导，确保学生工作质量</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学院领导班子高度重视学生工作，一学年召开八次以上研究学生工作的院级会议，在安全教育、评奖评优、就业创业指导、学风班风建设、文明宿舍评比等人才培养工作方面认真研究和部署，确保各项工作落实见效。</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二是积极组织辅导员参加学校有关学生工作会议、征兵动员、辅导员暑期家访、招生宣传等活动，学校学生工作部署落实及时到位。</w:t>
      </w:r>
      <w:r>
        <w:rPr>
          <w:rFonts w:hint="eastAsia" w:ascii="仿宋_GB2312" w:hAnsi="仿宋_GB2312" w:eastAsia="仿宋_GB2312" w:cs="仿宋_GB2312"/>
          <w:color w:val="000000"/>
          <w:sz w:val="32"/>
          <w:szCs w:val="32"/>
        </w:rPr>
        <w:t xml:space="preserve">    </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三是加强辅导员政治理论和廉洁自律教育，每年度至少组织两次以上院级学习和培训，完善了辅导员学习制度、例会制度和日志制度，辅导员能够认真履行工作职责，效果良好。</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二、切实加强和改进大学生思想政治工作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一是积极组织社会主义核心价值观、传统文化等专题教育活动，举办了“礼射</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传统文化进校园”主题讲座、“走进革命圣地</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重温入党誓词”红色主题教育、“十九大精神主题党课”和“国学大讲堂”等活动，积极承办了学生处举办的“第六届校园心理剧大赛”，商学院荣获优秀组织奖。</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二是组织开展基础教育等工作，以“新生应急救护培训”、“携笔从戎</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保家卫国”、“参观校史馆”、“文明宿舍评比”、“诚信考试”、“我为母校建言献策”等活动为载体，积极开展入学及离校教育、国防教育、文明行为教育、诚信教育和感恩教育。萤火支教项目荣获校级优秀志愿者服务团队，并得到河北新闻网媒体的报道。</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三是组织开展网络育人和宣传活动，网络育人工作有阵地、有队伍。学院成立了以党委书记、院长任组长，党委副书记任副组长，党务秘书任办公室主任的网络育人阵地领导小组，充分发挥新浪微博、</w:t>
      </w:r>
      <w:r>
        <w:rPr>
          <w:rFonts w:hint="eastAsia" w:ascii="仿宋_GB2312" w:hAnsi="仿宋_GB2312" w:eastAsia="仿宋_GB2312" w:cs="仿宋_GB2312"/>
          <w:color w:val="000000"/>
          <w:sz w:val="32"/>
          <w:szCs w:val="32"/>
        </w:rPr>
        <w:t>QQ</w:t>
      </w:r>
      <w:r>
        <w:rPr>
          <w:rFonts w:hint="eastAsia" w:ascii="仿宋_GB2312" w:hAnsi="仿宋_GB2312" w:eastAsia="仿宋_GB2312" w:cs="仿宋_GB2312"/>
          <w:color w:val="000000"/>
          <w:sz w:val="32"/>
          <w:szCs w:val="32"/>
        </w:rPr>
        <w:t>平台、学院官方网站等媒体功能，加强对大学生的思想政治教育，为积极践行社会主核心价值观、学习宣传贯彻十八大、十九大精神营造积极向上的浓厚氛围。</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三、加强大学生日常管理工作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一是积极开展安全、纪律、法制教育。学院坚持每周一、周三考勤制度，坚持经常性通过</w:t>
      </w:r>
      <w:r>
        <w:rPr>
          <w:rFonts w:hint="eastAsia" w:ascii="仿宋_GB2312" w:hAnsi="仿宋_GB2312" w:eastAsia="仿宋_GB2312" w:cs="仿宋_GB2312"/>
          <w:color w:val="000000"/>
          <w:sz w:val="32"/>
          <w:szCs w:val="32"/>
        </w:rPr>
        <w:t>QQ</w:t>
      </w:r>
      <w:r>
        <w:rPr>
          <w:rFonts w:hint="eastAsia" w:ascii="仿宋_GB2312" w:hAnsi="仿宋_GB2312" w:eastAsia="仿宋_GB2312" w:cs="仿宋_GB2312"/>
          <w:color w:val="000000"/>
          <w:sz w:val="32"/>
          <w:szCs w:val="32"/>
        </w:rPr>
        <w:t>群交流、主题班会等形式举办“反邪教、防诈骗、消防法”主题教育活动，对新生深入开展国防知识、应急救护等教育工作，</w:t>
      </w:r>
      <w:r>
        <w:rPr>
          <w:rFonts w:hint="eastAsia" w:ascii="仿宋_GB2312" w:hAnsi="仿宋_GB2312" w:eastAsia="仿宋_GB2312" w:cs="仿宋_GB2312"/>
          <w:color w:val="000000"/>
          <w:sz w:val="32"/>
          <w:szCs w:val="32"/>
        </w:rPr>
        <w:t>通过组织各种形式的活动加强广大学生对</w:t>
      </w:r>
      <w:r>
        <w:rPr>
          <w:rFonts w:hint="eastAsia" w:ascii="仿宋_GB2312" w:hAnsi="仿宋_GB2312" w:eastAsia="仿宋_GB2312" w:cs="仿宋_GB2312"/>
          <w:color w:val="000000"/>
          <w:sz w:val="32"/>
          <w:szCs w:val="32"/>
        </w:rPr>
        <w:t>安全、纪律、法制</w:t>
      </w:r>
      <w:r>
        <w:rPr>
          <w:rFonts w:hint="eastAsia" w:ascii="仿宋_GB2312" w:hAnsi="仿宋_GB2312" w:eastAsia="仿宋_GB2312" w:cs="仿宋_GB2312"/>
          <w:color w:val="000000"/>
          <w:sz w:val="32"/>
          <w:szCs w:val="32"/>
        </w:rPr>
        <w:t>教育的认知，取得良好效果。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二是有效开展心理健康教育，建立了心理健康咨询办公室，机制完善，人员齐备。</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w:t>
      </w:r>
      <w:r>
        <w:rPr>
          <w:rFonts w:hint="eastAsia" w:ascii="仿宋_GB2312" w:hAnsi="仿宋_GB2312" w:eastAsia="仿宋_GB2312" w:cs="仿宋_GB2312"/>
          <w:color w:val="000000"/>
          <w:sz w:val="32"/>
          <w:szCs w:val="32"/>
        </w:rPr>
        <w:t>在奖、贷、助、勤、补等各项资助工作中能够坚持公开、公平、公正的原则，按时完成工作任务，无弄虚作假现象，资助工作机构健全，资助育人成效显著。</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四是重视学风、校风建设，制度健全，措施得力，成效显著。在全校开展的“文明宿舍”创建月活动中团体荣获一名。</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五是按时报送学生工作相关材料。</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四、学生工作特色与创新</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一是积极开展学生工作特色项目。结合大学生综合素质能力提升，建立了</w:t>
      </w:r>
      <w:r>
        <w:rPr>
          <w:rFonts w:hint="eastAsia" w:ascii="仿宋_GB2312" w:hAnsi="仿宋_GB2312" w:eastAsia="仿宋_GB2312" w:cs="仿宋_GB2312"/>
          <w:color w:val="000000"/>
          <w:sz w:val="32"/>
          <w:szCs w:val="32"/>
        </w:rPr>
        <w:t>“五个工程”人才培养特色项目，即灵魂塑造工程、素质提升工程、文化育人工程、体育强身工程、实践锻炼工程；结合专业特点，成立了“外贸精品班”特色项目。探索出了“精品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”人才培养新思路，学院创建出了“精品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志愿服务”、“精品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创新创业”、</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校企合作”等特色项目。</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二是积极组织全院师生参加各级各类创新项目，成绩显著。</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rPr>
        <w:t>科研立项</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rPr>
        <w:t>申报</w:t>
      </w:r>
      <w:r>
        <w:rPr>
          <w:rFonts w:hint="eastAsia" w:ascii="仿宋_GB2312" w:hAnsi="仿宋_GB2312" w:eastAsia="仿宋_GB2312" w:cs="仿宋_GB2312"/>
          <w:color w:val="000000"/>
          <w:kern w:val="0"/>
          <w:sz w:val="32"/>
          <w:szCs w:val="32"/>
        </w:rPr>
        <w:t>50</w:t>
      </w:r>
      <w:r>
        <w:rPr>
          <w:rFonts w:hint="eastAsia" w:ascii="仿宋_GB2312" w:hAnsi="仿宋_GB2312" w:eastAsia="仿宋_GB2312" w:cs="仿宋_GB2312"/>
          <w:color w:val="000000"/>
          <w:kern w:val="0"/>
          <w:sz w:val="32"/>
          <w:szCs w:val="32"/>
        </w:rPr>
        <w:t>份，成功科研立项</w:t>
      </w:r>
      <w:r>
        <w:rPr>
          <w:rFonts w:hint="eastAsia" w:ascii="仿宋_GB2312" w:hAnsi="仿宋_GB2312" w:eastAsia="仿宋_GB2312" w:cs="仿宋_GB2312"/>
          <w:color w:val="000000"/>
          <w:kern w:val="0"/>
          <w:sz w:val="32"/>
          <w:szCs w:val="32"/>
        </w:rPr>
        <w:t>11</w:t>
      </w:r>
      <w:r>
        <w:rPr>
          <w:rFonts w:hint="eastAsia" w:ascii="仿宋_GB2312" w:hAnsi="仿宋_GB2312" w:eastAsia="仿宋_GB2312" w:cs="仿宋_GB2312"/>
          <w:color w:val="000000"/>
          <w:kern w:val="0"/>
          <w:sz w:val="32"/>
          <w:szCs w:val="32"/>
        </w:rPr>
        <w:t>项，结项</w:t>
      </w:r>
      <w:r>
        <w:rPr>
          <w:rFonts w:hint="eastAsia" w:ascii="仿宋_GB2312" w:hAnsi="仿宋_GB2312" w:eastAsia="仿宋_GB2312" w:cs="仿宋_GB2312"/>
          <w:color w:val="000000"/>
          <w:kern w:val="0"/>
          <w:sz w:val="32"/>
          <w:szCs w:val="32"/>
        </w:rPr>
        <w:t>9</w:t>
      </w:r>
      <w:r>
        <w:rPr>
          <w:rFonts w:hint="eastAsia" w:ascii="仿宋_GB2312" w:hAnsi="仿宋_GB2312" w:eastAsia="仿宋_GB2312" w:cs="仿宋_GB2312"/>
          <w:color w:val="000000"/>
          <w:kern w:val="0"/>
          <w:sz w:val="32"/>
          <w:szCs w:val="32"/>
        </w:rPr>
        <w:t>项，其中</w:t>
      </w: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项重点项目，</w:t>
      </w: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项一般项目，</w:t>
      </w:r>
      <w:r>
        <w:rPr>
          <w:rFonts w:hint="eastAsia"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项重点项目；“科研助困”共有</w:t>
      </w:r>
      <w:r>
        <w:rPr>
          <w:rFonts w:hint="eastAsia" w:ascii="仿宋_GB2312" w:hAnsi="仿宋_GB2312" w:eastAsia="仿宋_GB2312" w:cs="仿宋_GB2312"/>
          <w:color w:val="000000"/>
          <w:kern w:val="0"/>
          <w:sz w:val="32"/>
          <w:szCs w:val="32"/>
        </w:rPr>
        <w:t>45</w:t>
      </w:r>
      <w:r>
        <w:rPr>
          <w:rFonts w:hint="eastAsia" w:ascii="仿宋_GB2312" w:hAnsi="仿宋_GB2312" w:eastAsia="仿宋_GB2312" w:cs="仿宋_GB2312"/>
          <w:color w:val="000000"/>
          <w:kern w:val="0"/>
          <w:sz w:val="32"/>
          <w:szCs w:val="32"/>
        </w:rPr>
        <w:t>份作品申报，最终立项</w:t>
      </w:r>
      <w:r>
        <w:rPr>
          <w:rFonts w:hint="eastAsia" w:ascii="仿宋_GB2312" w:hAnsi="仿宋_GB2312" w:eastAsia="仿宋_GB2312" w:cs="仿宋_GB2312"/>
          <w:color w:val="000000"/>
          <w:kern w:val="0"/>
          <w:sz w:val="32"/>
          <w:szCs w:val="32"/>
        </w:rPr>
        <w:t>6</w:t>
      </w:r>
      <w:r>
        <w:rPr>
          <w:rFonts w:hint="eastAsia" w:ascii="仿宋_GB2312" w:hAnsi="仿宋_GB2312" w:eastAsia="仿宋_GB2312" w:cs="仿宋_GB2312"/>
          <w:color w:val="000000"/>
          <w:kern w:val="0"/>
          <w:sz w:val="32"/>
          <w:szCs w:val="32"/>
        </w:rPr>
        <w:t>份；“调研河北”</w:t>
      </w:r>
      <w:r>
        <w:rPr>
          <w:rFonts w:hint="eastAsia" w:ascii="仿宋_GB2312" w:hAnsi="仿宋_GB2312" w:eastAsia="仿宋_GB2312" w:cs="仿宋_GB2312"/>
          <w:color w:val="000000"/>
          <w:kern w:val="0"/>
          <w:sz w:val="32"/>
          <w:szCs w:val="32"/>
        </w:rPr>
        <w:t>18</w:t>
      </w:r>
      <w:r>
        <w:rPr>
          <w:rFonts w:hint="eastAsia" w:ascii="仿宋_GB2312" w:hAnsi="仿宋_GB2312" w:eastAsia="仿宋_GB2312" w:cs="仿宋_GB2312"/>
          <w:color w:val="000000"/>
          <w:kern w:val="0"/>
          <w:sz w:val="32"/>
          <w:szCs w:val="32"/>
        </w:rPr>
        <w:t>个省级奖项；大学生“三创”大赛全国一等奖</w:t>
      </w: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项；“大法杯”商务精英谈判大赛全国一等奖</w:t>
      </w: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项，“互联网</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t>”大学生创新创业大赛省级铜奖</w:t>
      </w: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t>“挑战杯”国家级铜奖</w:t>
      </w: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项、省级一等奖</w:t>
      </w:r>
      <w:r>
        <w:rPr>
          <w:rFonts w:hint="eastAsia"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项，二等奖</w:t>
      </w:r>
      <w:r>
        <w:rPr>
          <w:rFonts w:hint="eastAsia"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项；</w:t>
      </w:r>
      <w:r>
        <w:rPr>
          <w:rFonts w:hint="eastAsia" w:ascii="仿宋_GB2312" w:hAnsi="仿宋_GB2312" w:eastAsia="仿宋_GB2312" w:cs="仿宋_GB2312"/>
          <w:color w:val="000000"/>
          <w:sz w:val="32"/>
          <w:szCs w:val="32"/>
        </w:rPr>
        <w:t>大学生思政专项</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项获奖，辅导员精品项目参与申报</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年度辅导员工作优秀论文参与申报</w:t>
      </w:r>
      <w:r>
        <w:rPr>
          <w:rFonts w:hint="eastAsia" w:ascii="仿宋_GB2312" w:hAnsi="仿宋_GB2312" w:eastAsia="仿宋_GB2312" w:cs="仿宋_GB2312"/>
          <w:color w:val="000000"/>
          <w:sz w:val="32"/>
          <w:szCs w:val="32"/>
        </w:rPr>
        <w:t>11</w:t>
      </w:r>
      <w:r>
        <w:rPr>
          <w:rFonts w:hint="eastAsia" w:ascii="仿宋_GB2312" w:hAnsi="仿宋_GB2312" w:eastAsia="仿宋_GB2312" w:cs="仿宋_GB2312"/>
          <w:color w:val="000000"/>
          <w:sz w:val="32"/>
          <w:szCs w:val="32"/>
        </w:rPr>
        <w:t>篇</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五、学生工作成效</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rPr>
        <w:t>一是学生工作获奖：荣获</w:t>
      </w:r>
      <w:r>
        <w:rPr>
          <w:rFonts w:hint="eastAsia" w:ascii="仿宋_GB2312" w:hAnsi="仿宋_GB2312" w:eastAsia="仿宋_GB2312" w:cs="仿宋_GB2312"/>
          <w:color w:val="000000"/>
          <w:sz w:val="32"/>
          <w:szCs w:val="32"/>
          <w:shd w:val="clear" w:color="auto" w:fill="FFFFFF"/>
        </w:rPr>
        <w:t>“第二十二届田径运动会体育道德风尚奖”、“</w:t>
      </w:r>
      <w:r>
        <w:rPr>
          <w:rFonts w:hint="eastAsia" w:ascii="仿宋_GB2312" w:hAnsi="仿宋_GB2312" w:eastAsia="仿宋_GB2312" w:cs="仿宋_GB2312"/>
          <w:color w:val="000000"/>
          <w:sz w:val="32"/>
          <w:szCs w:val="32"/>
          <w:shd w:val="clear" w:color="auto" w:fill="FFFFFF"/>
        </w:rPr>
        <w:t>2017</w:t>
      </w:r>
      <w:r>
        <w:rPr>
          <w:rFonts w:hint="eastAsia" w:ascii="仿宋_GB2312" w:hAnsi="仿宋_GB2312" w:eastAsia="仿宋_GB2312" w:cs="仿宋_GB2312"/>
          <w:color w:val="000000"/>
          <w:sz w:val="32"/>
          <w:szCs w:val="32"/>
          <w:shd w:val="clear" w:color="auto" w:fill="FFFFFF"/>
        </w:rPr>
        <w:t>年暑期大家访先进单位”、“</w:t>
      </w:r>
      <w:r>
        <w:rPr>
          <w:rFonts w:hint="eastAsia" w:ascii="仿宋_GB2312" w:hAnsi="仿宋_GB2312" w:eastAsia="仿宋_GB2312" w:cs="仿宋_GB2312"/>
          <w:color w:val="000000"/>
          <w:sz w:val="32"/>
          <w:szCs w:val="32"/>
          <w:shd w:val="clear" w:color="auto" w:fill="FFFFFF"/>
        </w:rPr>
        <w:t>2017</w:t>
      </w:r>
      <w:r>
        <w:rPr>
          <w:rFonts w:hint="eastAsia" w:ascii="仿宋_GB2312" w:hAnsi="仿宋_GB2312" w:eastAsia="仿宋_GB2312" w:cs="仿宋_GB2312"/>
          <w:color w:val="000000"/>
          <w:sz w:val="32"/>
          <w:szCs w:val="32"/>
          <w:shd w:val="clear" w:color="auto" w:fill="FFFFFF"/>
        </w:rPr>
        <w:t>年暑期社会实践先进单位”、</w:t>
      </w: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2017</w:t>
      </w:r>
      <w:r>
        <w:rPr>
          <w:rFonts w:hint="eastAsia" w:ascii="仿宋_GB2312" w:hAnsi="仿宋_GB2312" w:eastAsia="仿宋_GB2312" w:cs="仿宋_GB2312"/>
          <w:color w:val="000000"/>
          <w:sz w:val="32"/>
          <w:szCs w:val="32"/>
          <w:shd w:val="clear" w:color="auto" w:fill="FFFFFF"/>
        </w:rPr>
        <w:t>级新生军训工作先进单位”、“第六届校园心理剧优秀组织奖”、“</w:t>
      </w:r>
      <w:r>
        <w:rPr>
          <w:rFonts w:hint="eastAsia" w:ascii="仿宋_GB2312" w:hAnsi="仿宋_GB2312" w:eastAsia="仿宋_GB2312" w:cs="仿宋_GB2312"/>
          <w:color w:val="000000"/>
          <w:sz w:val="32"/>
          <w:szCs w:val="32"/>
          <w:shd w:val="clear" w:color="auto" w:fill="FFFFFF"/>
        </w:rPr>
        <w:t>2017</w:t>
      </w:r>
      <w:r>
        <w:rPr>
          <w:rFonts w:hint="eastAsia" w:ascii="仿宋_GB2312" w:hAnsi="仿宋_GB2312" w:eastAsia="仿宋_GB2312" w:cs="仿宋_GB2312"/>
          <w:color w:val="000000"/>
          <w:sz w:val="32"/>
          <w:szCs w:val="32"/>
          <w:shd w:val="clear" w:color="auto" w:fill="FFFFFF"/>
        </w:rPr>
        <w:t>年挑战杯大学生课外科技学术作品大赛优秀组织奖”、“第三届发票知识竞赛优秀组织奖”等荣誉称号；</w:t>
      </w:r>
      <w:r>
        <w:rPr>
          <w:rFonts w:hint="eastAsia" w:ascii="仿宋_GB2312" w:hAnsi="仿宋_GB2312" w:eastAsia="仿宋_GB2312" w:cs="仿宋_GB2312"/>
          <w:color w:val="000000"/>
          <w:sz w:val="32"/>
          <w:szCs w:val="32"/>
          <w:shd w:val="clear" w:color="auto" w:fill="FFFFFF"/>
        </w:rPr>
        <w:t>2014</w:t>
      </w:r>
      <w:r>
        <w:rPr>
          <w:rFonts w:hint="eastAsia" w:ascii="仿宋_GB2312" w:hAnsi="仿宋_GB2312" w:eastAsia="仿宋_GB2312" w:cs="仿宋_GB2312"/>
          <w:color w:val="000000"/>
          <w:sz w:val="32"/>
          <w:szCs w:val="32"/>
          <w:shd w:val="clear" w:color="auto" w:fill="FFFFFF"/>
        </w:rPr>
        <w:t>级经济学</w:t>
      </w:r>
      <w:r>
        <w:rPr>
          <w:rFonts w:hint="eastAsia" w:ascii="仿宋_GB2312" w:hAnsi="仿宋_GB2312" w:eastAsia="仿宋_GB2312" w:cs="仿宋_GB2312"/>
          <w:color w:val="000000"/>
          <w:sz w:val="32"/>
          <w:szCs w:val="32"/>
          <w:shd w:val="clear" w:color="auto" w:fill="FFFFFF"/>
        </w:rPr>
        <w:t>2</w:t>
      </w:r>
      <w:r>
        <w:rPr>
          <w:rFonts w:hint="eastAsia" w:ascii="仿宋_GB2312" w:hAnsi="仿宋_GB2312" w:eastAsia="仿宋_GB2312" w:cs="仿宋_GB2312"/>
          <w:color w:val="000000"/>
          <w:sz w:val="32"/>
          <w:szCs w:val="32"/>
          <w:shd w:val="clear" w:color="auto" w:fill="FFFFFF"/>
        </w:rPr>
        <w:t>班荣获省级优秀班集体，</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名同学荣获省级优秀班干部、</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名同学荣获十佳大学生、</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名同学荣获校级自强之星、</w:t>
      </w:r>
      <w:r>
        <w:rPr>
          <w:rFonts w:hint="eastAsia" w:ascii="仿宋_GB2312" w:hAnsi="仿宋_GB2312" w:eastAsia="仿宋_GB2312" w:cs="仿宋_GB2312"/>
          <w:color w:val="000000"/>
          <w:sz w:val="32"/>
          <w:szCs w:val="32"/>
          <w:shd w:val="clear" w:color="auto" w:fill="FFFFFF"/>
        </w:rPr>
        <w:t>3</w:t>
      </w:r>
      <w:r>
        <w:rPr>
          <w:rFonts w:hint="eastAsia" w:ascii="仿宋_GB2312" w:hAnsi="仿宋_GB2312" w:eastAsia="仿宋_GB2312" w:cs="仿宋_GB2312"/>
          <w:color w:val="000000"/>
          <w:sz w:val="32"/>
          <w:szCs w:val="32"/>
          <w:shd w:val="clear" w:color="auto" w:fill="FFFFFF"/>
        </w:rPr>
        <w:t>名同学荣获国家奖学金，</w:t>
      </w:r>
      <w:r>
        <w:rPr>
          <w:rFonts w:hint="eastAsia" w:ascii="仿宋_GB2312" w:hAnsi="仿宋_GB2312" w:eastAsia="仿宋_GB2312" w:cs="仿宋_GB2312"/>
          <w:color w:val="000000"/>
          <w:sz w:val="32"/>
          <w:szCs w:val="32"/>
          <w:shd w:val="clear" w:color="auto" w:fill="FFFFFF"/>
        </w:rPr>
        <w:t>62</w:t>
      </w:r>
      <w:r>
        <w:rPr>
          <w:rFonts w:hint="eastAsia" w:ascii="仿宋_GB2312" w:hAnsi="仿宋_GB2312" w:eastAsia="仿宋_GB2312" w:cs="仿宋_GB2312"/>
          <w:color w:val="000000"/>
          <w:sz w:val="32"/>
          <w:szCs w:val="32"/>
          <w:shd w:val="clear" w:color="auto" w:fill="FFFFFF"/>
        </w:rPr>
        <w:t>名同学荣获国家励志奖学金，</w:t>
      </w:r>
      <w:r>
        <w:rPr>
          <w:rFonts w:hint="eastAsia" w:ascii="仿宋_GB2312" w:hAnsi="仿宋_GB2312" w:eastAsia="仿宋_GB2312" w:cs="仿宋_GB2312"/>
          <w:color w:val="000000"/>
          <w:sz w:val="32"/>
          <w:szCs w:val="32"/>
          <w:shd w:val="clear" w:color="auto" w:fill="FFFFFF"/>
        </w:rPr>
        <w:t>16</w:t>
      </w:r>
      <w:r>
        <w:rPr>
          <w:rFonts w:hint="eastAsia" w:ascii="仿宋_GB2312" w:hAnsi="仿宋_GB2312" w:eastAsia="仿宋_GB2312" w:cs="仿宋_GB2312"/>
          <w:color w:val="000000"/>
          <w:sz w:val="32"/>
          <w:szCs w:val="32"/>
          <w:shd w:val="clear" w:color="auto" w:fill="FFFFFF"/>
        </w:rPr>
        <w:t>名同学荣获“姚今观教学奖”，有</w:t>
      </w:r>
      <w:r>
        <w:rPr>
          <w:rFonts w:hint="eastAsia" w:ascii="仿宋_GB2312" w:hAnsi="仿宋_GB2312" w:eastAsia="仿宋_GB2312" w:cs="仿宋_GB2312"/>
          <w:color w:val="000000"/>
          <w:sz w:val="32"/>
          <w:szCs w:val="32"/>
          <w:shd w:val="clear" w:color="auto" w:fill="FFFFFF"/>
        </w:rPr>
        <w:t>3</w:t>
      </w:r>
      <w:r>
        <w:rPr>
          <w:rFonts w:hint="eastAsia" w:ascii="仿宋_GB2312" w:hAnsi="仿宋_GB2312" w:eastAsia="仿宋_GB2312" w:cs="仿宋_GB2312"/>
          <w:color w:val="000000"/>
          <w:sz w:val="32"/>
          <w:szCs w:val="32"/>
          <w:shd w:val="clear" w:color="auto" w:fill="FFFFFF"/>
        </w:rPr>
        <w:t>名男生当兵入伍。</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二是新闻媒体宣传报道：仰望星空报道</w:t>
      </w:r>
      <w:r>
        <w:rPr>
          <w:rFonts w:hint="eastAsia" w:ascii="仿宋_GB2312" w:hAnsi="仿宋_GB2312" w:eastAsia="仿宋_GB2312" w:cs="仿宋_GB2312"/>
          <w:color w:val="000000"/>
          <w:sz w:val="32"/>
          <w:szCs w:val="32"/>
          <w:shd w:val="clear" w:color="auto" w:fill="FFFFFF"/>
        </w:rPr>
        <w:t>14</w:t>
      </w:r>
      <w:r>
        <w:rPr>
          <w:rFonts w:hint="eastAsia" w:ascii="仿宋_GB2312" w:hAnsi="仿宋_GB2312" w:eastAsia="仿宋_GB2312" w:cs="仿宋_GB2312"/>
          <w:color w:val="000000"/>
          <w:sz w:val="32"/>
          <w:szCs w:val="32"/>
          <w:shd w:val="clear" w:color="auto" w:fill="FFFFFF"/>
        </w:rPr>
        <w:t>篇，校新闻中心</w:t>
      </w:r>
      <w:r>
        <w:rPr>
          <w:rFonts w:hint="eastAsia" w:ascii="仿宋_GB2312" w:hAnsi="仿宋_GB2312" w:eastAsia="仿宋_GB2312" w:cs="仿宋_GB2312"/>
          <w:color w:val="000000"/>
          <w:sz w:val="32"/>
          <w:szCs w:val="32"/>
          <w:shd w:val="clear" w:color="auto" w:fill="FFFFFF"/>
        </w:rPr>
        <w:t>41</w:t>
      </w:r>
      <w:r>
        <w:rPr>
          <w:rFonts w:hint="eastAsia" w:ascii="仿宋_GB2312" w:hAnsi="仿宋_GB2312" w:eastAsia="仿宋_GB2312" w:cs="仿宋_GB2312"/>
          <w:color w:val="000000"/>
          <w:sz w:val="32"/>
          <w:szCs w:val="32"/>
          <w:shd w:val="clear" w:color="auto" w:fill="FFFFFF"/>
        </w:rPr>
        <w:t>篇，学院网</w:t>
      </w:r>
      <w:r>
        <w:rPr>
          <w:rFonts w:hint="eastAsia" w:ascii="仿宋_GB2312" w:hAnsi="仿宋_GB2312" w:eastAsia="仿宋_GB2312" w:cs="仿宋_GB2312"/>
          <w:color w:val="000000"/>
          <w:sz w:val="32"/>
          <w:szCs w:val="32"/>
          <w:shd w:val="clear" w:color="auto" w:fill="FFFFFF"/>
        </w:rPr>
        <w:t>31</w:t>
      </w:r>
      <w:r>
        <w:rPr>
          <w:rFonts w:hint="eastAsia" w:ascii="仿宋_GB2312" w:hAnsi="仿宋_GB2312" w:eastAsia="仿宋_GB2312" w:cs="仿宋_GB2312"/>
          <w:color w:val="000000"/>
          <w:sz w:val="32"/>
          <w:szCs w:val="32"/>
          <w:shd w:val="clear" w:color="auto" w:fill="FFFFFF"/>
        </w:rPr>
        <w:t>篇，长城网</w:t>
      </w:r>
      <w:r>
        <w:rPr>
          <w:rFonts w:hint="eastAsia" w:ascii="仿宋_GB2312" w:hAnsi="仿宋_GB2312" w:eastAsia="仿宋_GB2312" w:cs="仿宋_GB2312"/>
          <w:color w:val="000000"/>
          <w:sz w:val="32"/>
          <w:szCs w:val="32"/>
          <w:shd w:val="clear" w:color="auto" w:fill="FFFFFF"/>
        </w:rPr>
        <w:t>2</w:t>
      </w:r>
      <w:r>
        <w:rPr>
          <w:rFonts w:hint="eastAsia" w:ascii="仿宋_GB2312" w:hAnsi="仿宋_GB2312" w:eastAsia="仿宋_GB2312" w:cs="仿宋_GB2312"/>
          <w:color w:val="000000"/>
          <w:sz w:val="32"/>
          <w:szCs w:val="32"/>
          <w:shd w:val="clear" w:color="auto" w:fill="FFFFFF"/>
        </w:rPr>
        <w:t>篇，河北新闻网</w:t>
      </w:r>
      <w:r>
        <w:rPr>
          <w:rFonts w:hint="eastAsia" w:ascii="仿宋_GB2312" w:hAnsi="仿宋_GB2312" w:eastAsia="仿宋_GB2312" w:cs="仿宋_GB2312"/>
          <w:color w:val="000000"/>
          <w:sz w:val="32"/>
          <w:szCs w:val="32"/>
          <w:shd w:val="clear" w:color="auto" w:fill="FFFFFF"/>
        </w:rPr>
        <w:t>2</w:t>
      </w:r>
      <w:r>
        <w:rPr>
          <w:rFonts w:hint="eastAsia" w:ascii="仿宋_GB2312" w:hAnsi="仿宋_GB2312" w:eastAsia="仿宋_GB2312" w:cs="仿宋_GB2312"/>
          <w:color w:val="000000"/>
          <w:sz w:val="32"/>
          <w:szCs w:val="32"/>
          <w:shd w:val="clear" w:color="auto" w:fill="FFFFFF"/>
        </w:rPr>
        <w:t>篇，河北青年报</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篇，河北日报</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篇。</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三是牢固树立安全第一的工作意识，确保各项工作安全稳定，无发生任何责任事故。</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六、就业工作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一是学院高度重视毕业生就业工作，落实就业工作“一把手工程”，积极采取“引进来</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走出去”、“互联网</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就业”、“校友论坛”、“外贸精品班”、“中小外贸企业校园招聘会”和“企业专场招聘会”等措施，拓宽就业渠道，为毕业生搭建平台。</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年毕业</w:t>
      </w:r>
      <w:r>
        <w:rPr>
          <w:rFonts w:hint="eastAsia" w:ascii="仿宋_GB2312" w:hAnsi="仿宋_GB2312" w:eastAsia="仿宋_GB2312" w:cs="仿宋_GB2312"/>
          <w:color w:val="000000"/>
          <w:sz w:val="32"/>
          <w:szCs w:val="32"/>
        </w:rPr>
        <w:t>490</w:t>
      </w:r>
      <w:r>
        <w:rPr>
          <w:rFonts w:hint="eastAsia" w:ascii="仿宋_GB2312" w:hAnsi="仿宋_GB2312" w:eastAsia="仿宋_GB2312" w:cs="仿宋_GB2312"/>
          <w:color w:val="000000"/>
          <w:sz w:val="32"/>
          <w:szCs w:val="32"/>
        </w:rPr>
        <w:t>人，初次就业率达</w:t>
      </w:r>
      <w:r>
        <w:rPr>
          <w:rFonts w:hint="eastAsia" w:ascii="仿宋_GB2312" w:hAnsi="仿宋_GB2312" w:eastAsia="仿宋_GB2312" w:cs="仿宋_GB2312"/>
          <w:color w:val="000000"/>
          <w:sz w:val="32"/>
          <w:szCs w:val="32"/>
        </w:rPr>
        <w:t>91.63 %</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二是积极组织大学生参加创新创业比赛，燕赵合伙人荣获三创大赛全国一等奖、《何遇</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大学生旅游信息交流共享平台》荣获省教育厅铜奖等。</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rPr>
        <w:t>三是就业创业工作宣传报道。</w:t>
      </w:r>
      <w:r>
        <w:rPr>
          <w:rFonts w:hint="eastAsia" w:ascii="仿宋_GB2312" w:hAnsi="仿宋_GB2312" w:eastAsia="仿宋_GB2312" w:cs="仿宋_GB2312"/>
          <w:color w:val="000000"/>
          <w:sz w:val="32"/>
          <w:szCs w:val="32"/>
          <w:shd w:val="clear" w:color="auto" w:fill="FFFFFF"/>
        </w:rPr>
        <w:t>校级</w:t>
      </w:r>
      <w:r>
        <w:rPr>
          <w:rFonts w:hint="eastAsia" w:ascii="仿宋_GB2312" w:hAnsi="仿宋_GB2312" w:eastAsia="仿宋_GB2312" w:cs="仿宋_GB2312"/>
          <w:color w:val="000000"/>
          <w:sz w:val="32"/>
          <w:szCs w:val="32"/>
          <w:shd w:val="clear" w:color="auto" w:fill="FFFFFF"/>
        </w:rPr>
        <w:t>8</w:t>
      </w:r>
      <w:r>
        <w:rPr>
          <w:rFonts w:hint="eastAsia" w:ascii="仿宋_GB2312" w:hAnsi="仿宋_GB2312" w:eastAsia="仿宋_GB2312" w:cs="仿宋_GB2312"/>
          <w:color w:val="000000"/>
          <w:sz w:val="32"/>
          <w:szCs w:val="32"/>
          <w:shd w:val="clear" w:color="auto" w:fill="FFFFFF"/>
        </w:rPr>
        <w:t>篇，长城网</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篇，河北日报</w:t>
      </w:r>
      <w:r>
        <w:rPr>
          <w:rFonts w:hint="eastAsia"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篇。</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四是</w:t>
      </w:r>
      <w:r>
        <w:rPr>
          <w:rFonts w:hint="eastAsia" w:ascii="仿宋_GB2312" w:hAnsi="仿宋_GB2312" w:eastAsia="仿宋_GB2312" w:cs="仿宋_GB2312"/>
          <w:color w:val="000000"/>
          <w:sz w:val="32"/>
          <w:szCs w:val="32"/>
          <w:shd w:val="clear" w:color="auto" w:fill="FFFFFF"/>
        </w:rPr>
        <w:t>2017</w:t>
      </w:r>
      <w:r>
        <w:rPr>
          <w:rFonts w:hint="eastAsia" w:ascii="仿宋_GB2312" w:hAnsi="仿宋_GB2312" w:eastAsia="仿宋_GB2312" w:cs="仿宋_GB2312"/>
          <w:color w:val="000000"/>
          <w:sz w:val="32"/>
          <w:szCs w:val="32"/>
          <w:shd w:val="clear" w:color="auto" w:fill="FFFFFF"/>
        </w:rPr>
        <w:t>年综合就业率全校排名第</w:t>
      </w:r>
      <w:r>
        <w:rPr>
          <w:rFonts w:hint="eastAsia" w:ascii="仿宋_GB2312" w:hAnsi="仿宋_GB2312" w:eastAsia="仿宋_GB2312" w:cs="仿宋_GB2312"/>
          <w:color w:val="000000"/>
          <w:sz w:val="32"/>
          <w:szCs w:val="32"/>
          <w:shd w:val="clear" w:color="auto" w:fill="FFFFFF"/>
        </w:rPr>
        <w:t>6</w:t>
      </w:r>
      <w:r>
        <w:rPr>
          <w:rFonts w:hint="eastAsia" w:ascii="仿宋_GB2312" w:hAnsi="仿宋_GB2312" w:eastAsia="仿宋_GB2312" w:cs="仿宋_GB2312"/>
          <w:color w:val="000000"/>
          <w:sz w:val="32"/>
          <w:szCs w:val="32"/>
          <w:shd w:val="clear" w:color="auto" w:fill="FFFFFF"/>
        </w:rPr>
        <w:t>名，与上一年综合就业率相比提高了</w:t>
      </w:r>
      <w:r>
        <w:rPr>
          <w:rFonts w:hint="eastAsia" w:ascii="仿宋_GB2312" w:hAnsi="仿宋_GB2312" w:eastAsia="仿宋_GB2312" w:cs="仿宋_GB2312"/>
          <w:color w:val="000000"/>
          <w:sz w:val="32"/>
          <w:szCs w:val="32"/>
          <w:shd w:val="clear" w:color="auto" w:fill="FFFFFF"/>
        </w:rPr>
        <w:t>6</w:t>
      </w:r>
      <w:r>
        <w:rPr>
          <w:rFonts w:hint="eastAsia" w:ascii="仿宋_GB2312" w:hAnsi="仿宋_GB2312" w:eastAsia="仿宋_GB2312" w:cs="仿宋_GB2312"/>
          <w:color w:val="000000"/>
          <w:sz w:val="32"/>
          <w:szCs w:val="32"/>
          <w:shd w:val="clear" w:color="auto" w:fill="FFFFFF"/>
        </w:rPr>
        <w:t>名。</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七、共青团工作</w:t>
      </w:r>
    </w:p>
    <w:p>
      <w:pPr>
        <w:keepNext w:val="0"/>
        <w:keepLines w:val="0"/>
        <w:pageBreakBefore w:val="0"/>
        <w:widowControl/>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一是学院共青团、学生会组织健全，构建功能清晰、运转协同的团学组织体系。健全团员代表和学生代表大会制度，完善学生权益维护制度；规范团学干部的选拔、管理和使用，使团学组织能广泛的代表学生、融入学生。</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二是</w:t>
      </w:r>
      <w:r>
        <w:rPr>
          <w:rFonts w:hint="eastAsia" w:ascii="仿宋_GB2312" w:hAnsi="仿宋_GB2312" w:eastAsia="仿宋_GB2312" w:cs="仿宋_GB2312"/>
          <w:color w:val="000000"/>
          <w:kern w:val="0"/>
          <w:sz w:val="32"/>
          <w:szCs w:val="32"/>
        </w:rPr>
        <w:t>科技创新竞赛活动情况。“挑战杯”国家级奖</w:t>
      </w: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项、省级一等奖</w:t>
      </w:r>
      <w:r>
        <w:rPr>
          <w:rFonts w:hint="eastAsia" w:ascii="仿宋_GB2312" w:hAnsi="仿宋_GB2312" w:eastAsia="仿宋_GB2312" w:cs="仿宋_GB2312"/>
          <w:color w:val="000000"/>
          <w:kern w:val="0"/>
          <w:sz w:val="32"/>
          <w:szCs w:val="32"/>
        </w:rPr>
        <w:t>4</w:t>
      </w:r>
      <w:r>
        <w:rPr>
          <w:rFonts w:hint="eastAsia" w:ascii="仿宋_GB2312" w:hAnsi="仿宋_GB2312" w:eastAsia="仿宋_GB2312" w:cs="仿宋_GB2312"/>
          <w:color w:val="000000"/>
          <w:kern w:val="0"/>
          <w:sz w:val="32"/>
          <w:szCs w:val="32"/>
        </w:rPr>
        <w:t>项、省级二等奖</w:t>
      </w: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项、校二等奖</w:t>
      </w: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项、校三等奖</w:t>
      </w: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三是社会实践、“调研河北”和志愿服务活动情况。“调研河北”</w:t>
      </w:r>
      <w:r>
        <w:rPr>
          <w:rFonts w:hint="eastAsia" w:ascii="仿宋_GB2312" w:hAnsi="仿宋_GB2312" w:eastAsia="仿宋_GB2312" w:cs="仿宋_GB2312"/>
          <w:color w:val="000000"/>
          <w:kern w:val="0"/>
          <w:sz w:val="32"/>
          <w:szCs w:val="32"/>
        </w:rPr>
        <w:t>18</w:t>
      </w:r>
      <w:r>
        <w:rPr>
          <w:rFonts w:hint="eastAsia" w:ascii="仿宋_GB2312" w:hAnsi="仿宋_GB2312" w:eastAsia="仿宋_GB2312" w:cs="仿宋_GB2312"/>
          <w:color w:val="000000"/>
          <w:kern w:val="0"/>
          <w:sz w:val="32"/>
          <w:szCs w:val="32"/>
        </w:rPr>
        <w:t>个省级奖项；学院“萤火支教”志愿服务队与石家庄柳董庄小学、平山营里乡完全小学、石家庄大孙村小学建立了长期的“关爱留守儿童</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t>大手牵小手”义务支教活动，荣获校级暑期社会实践先进单位称号，得到河北新闻网的报道，萤火支教项目荣获校级优秀志愿者服务团队。</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四是校园文化、“三走”等文体活动。</w:t>
      </w:r>
      <w:bookmarkStart w:id="54" w:name="_Toc5031"/>
      <w:r>
        <w:rPr>
          <w:rFonts w:hint="eastAsia" w:ascii="仿宋_GB2312" w:hAnsi="仿宋_GB2312" w:eastAsia="仿宋_GB2312" w:cs="仿宋_GB2312"/>
          <w:color w:val="000000"/>
          <w:sz w:val="32"/>
          <w:szCs w:val="32"/>
        </w:rPr>
        <w:t>积极组织参加学校、校团委组织的全校活动，</w:t>
      </w:r>
      <w:bookmarkEnd w:id="54"/>
      <w:bookmarkStart w:id="55" w:name="_Toc25814"/>
      <w:bookmarkStart w:id="56" w:name="_Toc11262"/>
      <w:bookmarkStart w:id="57" w:name="_Toc271"/>
      <w:bookmarkStart w:id="58" w:name="_Toc14571"/>
      <w:bookmarkStart w:id="59" w:name="_Toc17743"/>
      <w:bookmarkStart w:id="60" w:name="_Toc14408"/>
      <w:r>
        <w:rPr>
          <w:rFonts w:hint="eastAsia" w:ascii="仿宋_GB2312" w:hAnsi="仿宋_GB2312" w:eastAsia="仿宋_GB2312" w:cs="仿宋_GB2312"/>
          <w:color w:val="000000"/>
          <w:sz w:val="32"/>
          <w:szCs w:val="32"/>
        </w:rPr>
        <w:t>获得</w:t>
      </w:r>
      <w:bookmarkEnd w:id="55"/>
      <w:bookmarkEnd w:id="56"/>
      <w:bookmarkEnd w:id="57"/>
      <w:bookmarkEnd w:id="58"/>
      <w:bookmarkEnd w:id="59"/>
      <w:bookmarkEnd w:id="60"/>
      <w:r>
        <w:rPr>
          <w:rFonts w:hint="eastAsia" w:ascii="仿宋_GB2312" w:hAnsi="仿宋_GB2312" w:eastAsia="仿宋_GB2312" w:cs="仿宋_GB2312"/>
          <w:color w:val="000000"/>
          <w:sz w:val="32"/>
          <w:szCs w:val="32"/>
        </w:rPr>
        <w:t>第二十二届校运动会男子组第三名、女子组第二名；男子排球队在校排球锦标赛中获得第四名；男子篮球队校团体第二名；健美操队在校健美操比赛中获得团体第一名；校新生杯篮球比赛中获得团体第二名；新生杯排球比赛中获得团体第二名；校排球联赛中获得团体第三名；校万米接力比赛中获得团体第二名。</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五是</w:t>
      </w:r>
      <w:r>
        <w:rPr>
          <w:rFonts w:hint="eastAsia" w:ascii="仿宋_GB2312" w:hAnsi="仿宋_GB2312" w:eastAsia="仿宋_GB2312" w:cs="仿宋_GB2312"/>
          <w:color w:val="000000"/>
          <w:sz w:val="32"/>
          <w:szCs w:val="32"/>
        </w:rPr>
        <w:t>创新工作方式方法，效果良好。工作有计划和总结，及时按要求上报相关材料。</w:t>
      </w:r>
      <w:r>
        <w:rPr>
          <w:rFonts w:hint="eastAsia" w:ascii="仿宋_GB2312" w:hAnsi="仿宋_GB2312" w:eastAsia="仿宋_GB2312" w:cs="仿宋_GB2312"/>
          <w:color w:val="000000"/>
          <w:sz w:val="32"/>
          <w:szCs w:val="32"/>
        </w:rPr>
        <w:t>落实校团代会、学代会精神，团建工作有创新、有特色、有总结，建立团干部学期述职考核制度、干部工作交流沙龙、“精品团日</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”活动。荣获校级“十佳优秀团员”</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人、“十佳团支部”</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个、“优秀团支部”</w:t>
      </w:r>
      <w:r>
        <w:rPr>
          <w:rFonts w:hint="eastAsia"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个、“活力团支部”</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个、“优秀团员”</w:t>
      </w:r>
      <w:r>
        <w:rPr>
          <w:rFonts w:hint="eastAsia" w:ascii="仿宋_GB2312" w:hAnsi="仿宋_GB2312" w:eastAsia="仿宋_GB2312" w:cs="仿宋_GB2312"/>
          <w:color w:val="000000"/>
          <w:sz w:val="32"/>
          <w:szCs w:val="32"/>
        </w:rPr>
        <w:t>32</w:t>
      </w:r>
      <w:r>
        <w:rPr>
          <w:rFonts w:hint="eastAsia" w:ascii="仿宋_GB2312" w:hAnsi="仿宋_GB2312" w:eastAsia="仿宋_GB2312" w:cs="仿宋_GB2312"/>
          <w:color w:val="000000"/>
          <w:sz w:val="32"/>
          <w:szCs w:val="32"/>
        </w:rPr>
        <w:t>人、“优秀团干”</w:t>
      </w:r>
      <w:r>
        <w:rPr>
          <w:rFonts w:hint="eastAsia"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人、“优秀志愿者”</w:t>
      </w:r>
      <w:r>
        <w:rPr>
          <w:rFonts w:hint="eastAsia" w:ascii="仿宋_GB2312" w:hAnsi="仿宋_GB2312" w:eastAsia="仿宋_GB2312" w:cs="仿宋_GB2312"/>
          <w:color w:val="000000"/>
          <w:sz w:val="32"/>
          <w:szCs w:val="32"/>
        </w:rPr>
        <w:t>11</w:t>
      </w:r>
      <w:r>
        <w:rPr>
          <w:rFonts w:hint="eastAsia" w:ascii="仿宋_GB2312" w:hAnsi="仿宋_GB2312" w:eastAsia="仿宋_GB2312" w:cs="仿宋_GB2312"/>
          <w:color w:val="000000"/>
          <w:sz w:val="32"/>
          <w:szCs w:val="32"/>
        </w:rPr>
        <w:t>人、“最美志愿者”</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人。</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bookmarkStart w:id="61" w:name="_Toc501461724"/>
      <w:bookmarkStart w:id="62" w:name="_Toc479843984"/>
      <w:bookmarkStart w:id="63" w:name="_Toc475949060"/>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★研究生工作</w:t>
      </w:r>
      <w:bookmarkEnd w:id="61"/>
      <w:bookmarkEnd w:id="62"/>
      <w:bookmarkEnd w:id="63"/>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一、招生工作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年，我院招收产业经济学、国际贸易学、区域经济学、政治经济学、国际商务五个方向的研究生，专业方向设置合理，研究内容紧紧围绕国家、社会的重点、热点和难点展开，没有受到停招处分。</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二、招生计划完成情况</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年，我院计划招生硕士研究生</w:t>
      </w:r>
      <w:r>
        <w:rPr>
          <w:rFonts w:hint="eastAsia" w:ascii="仿宋_GB2312" w:hAnsi="仿宋_GB2312" w:eastAsia="仿宋_GB2312" w:cs="仿宋_GB2312"/>
          <w:color w:val="000000"/>
          <w:sz w:val="32"/>
          <w:szCs w:val="32"/>
        </w:rPr>
        <w:t>45</w:t>
      </w:r>
      <w:r>
        <w:rPr>
          <w:rFonts w:hint="eastAsia" w:ascii="仿宋_GB2312" w:hAnsi="仿宋_GB2312" w:eastAsia="仿宋_GB2312" w:cs="仿宋_GB2312"/>
          <w:color w:val="000000"/>
          <w:sz w:val="32"/>
          <w:szCs w:val="32"/>
        </w:rPr>
        <w:t>人，实际招生</w:t>
      </w:r>
      <w:r>
        <w:rPr>
          <w:rFonts w:hint="eastAsia" w:ascii="仿宋_GB2312" w:hAnsi="仿宋_GB2312" w:eastAsia="仿宋_GB2312" w:cs="仿宋_GB2312"/>
          <w:color w:val="000000"/>
          <w:sz w:val="32"/>
          <w:szCs w:val="32"/>
        </w:rPr>
        <w:t>25</w:t>
      </w:r>
      <w:r>
        <w:rPr>
          <w:rFonts w:hint="eastAsia" w:ascii="仿宋_GB2312" w:hAnsi="仿宋_GB2312" w:eastAsia="仿宋_GB2312" w:cs="仿宋_GB2312"/>
          <w:color w:val="000000"/>
          <w:sz w:val="32"/>
          <w:szCs w:val="32"/>
        </w:rPr>
        <w:t>人。我院招生工作严格按照学校研究生招生制度进行，未发生招生事故。</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三、培养工作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一是研究生课程阶段培养情况：我院教师严格按照学校相关规定履行调课和听课手续，未发生教学事故。</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二是研究生中期考核：我院按照学校规定，于</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月下旬组织二年级研究生中期考核：</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日，产业经济学方向中期考核；</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27</w:t>
      </w:r>
      <w:r>
        <w:rPr>
          <w:rFonts w:hint="eastAsia" w:ascii="仿宋_GB2312" w:hAnsi="仿宋_GB2312" w:eastAsia="仿宋_GB2312" w:cs="仿宋_GB2312"/>
          <w:color w:val="000000"/>
          <w:sz w:val="32"/>
          <w:szCs w:val="32"/>
        </w:rPr>
        <w:t>日，政治经济学、区域经济学方向中期考核；</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29</w:t>
      </w:r>
      <w:r>
        <w:rPr>
          <w:rFonts w:hint="eastAsia" w:ascii="仿宋_GB2312" w:hAnsi="仿宋_GB2312" w:eastAsia="仿宋_GB2312" w:cs="仿宋_GB2312"/>
          <w:color w:val="000000"/>
          <w:sz w:val="32"/>
          <w:szCs w:val="32"/>
        </w:rPr>
        <w:t>日，国际贸易学方向中期考核。</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三是研究生论文阶段培养情况：</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年，我院研究生王娇《河北省蔬菜价格波动研究》获得省级优秀硕士论文。我院对硕士毕业论文严格把关，确保质量，没有发生学位（毕业）论文送审、答辩、抽检不通过的情况，也没有出现学术不端行为。</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四是研究生培养模式改革情况：我院积极申报各项培养模式改革项目，其中刘晓亮老师《国际商务教学案例库》获得</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年度省级研究生专业学位研究生教学案例库建设项目。</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四、导师管理工作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一是导师队伍建设情况：</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15</w:t>
      </w:r>
      <w:r>
        <w:rPr>
          <w:rFonts w:hint="eastAsia" w:ascii="仿宋_GB2312" w:hAnsi="仿宋_GB2312" w:eastAsia="仿宋_GB2312" w:cs="仿宋_GB2312"/>
          <w:color w:val="000000"/>
          <w:sz w:val="32"/>
          <w:szCs w:val="32"/>
        </w:rPr>
        <w:t>日，商学院召开《硕士研究生导师管理条例》培训会，武建奇校长对《条例》中的各项条款进行了解读。</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二是导师履行职责情况：我院王小平院长获得河北经贸大学</w:t>
      </w:r>
      <w:r>
        <w:rPr>
          <w:rFonts w:hint="eastAsia" w:ascii="仿宋_GB2312" w:hAnsi="仿宋_GB2312" w:eastAsia="仿宋_GB2312" w:cs="仿宋_GB2312"/>
          <w:color w:val="000000"/>
          <w:sz w:val="32"/>
          <w:szCs w:val="32"/>
        </w:rPr>
        <w:t>2016-2017</w:t>
      </w:r>
      <w:r>
        <w:rPr>
          <w:rFonts w:hint="eastAsia" w:ascii="仿宋_GB2312" w:hAnsi="仿宋_GB2312" w:eastAsia="仿宋_GB2312" w:cs="仿宋_GB2312"/>
          <w:color w:val="000000"/>
          <w:sz w:val="32"/>
          <w:szCs w:val="32"/>
        </w:rPr>
        <w:t>学年度十佳导师。</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五、思政与学生管理工作</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一是学生党团组织及学生社团建设情况：商学院设有研究生党支部，其中共有党员</w:t>
      </w:r>
      <w:r>
        <w:rPr>
          <w:rFonts w:hint="eastAsia" w:ascii="仿宋_GB2312" w:hAnsi="仿宋_GB2312" w:eastAsia="仿宋_GB2312" w:cs="仿宋_GB2312"/>
          <w:color w:val="000000"/>
          <w:sz w:val="32"/>
          <w:szCs w:val="32"/>
        </w:rPr>
        <w:t>21</w:t>
      </w:r>
      <w:r>
        <w:rPr>
          <w:rFonts w:hint="eastAsia" w:ascii="仿宋_GB2312" w:hAnsi="仿宋_GB2312" w:eastAsia="仿宋_GB2312" w:cs="仿宋_GB2312"/>
          <w:color w:val="000000"/>
          <w:sz w:val="32"/>
          <w:szCs w:val="32"/>
        </w:rPr>
        <w:t>个人，其中正式党员</w:t>
      </w:r>
      <w:r>
        <w:rPr>
          <w:rFonts w:hint="eastAsia" w:ascii="仿宋_GB2312" w:hAnsi="仿宋_GB2312" w:eastAsia="仿宋_GB2312" w:cs="仿宋_GB2312"/>
          <w:color w:val="000000"/>
          <w:sz w:val="32"/>
          <w:szCs w:val="32"/>
        </w:rPr>
        <w:t>17</w:t>
      </w:r>
      <w:r>
        <w:rPr>
          <w:rFonts w:hint="eastAsia" w:ascii="仿宋_GB2312" w:hAnsi="仿宋_GB2312" w:eastAsia="仿宋_GB2312" w:cs="仿宋_GB2312"/>
          <w:color w:val="000000"/>
          <w:sz w:val="32"/>
          <w:szCs w:val="32"/>
        </w:rPr>
        <w:t>人，预备党员</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人，董爱民任支部书记，陈红任支部组织委员，张榕健任支部宣传委员。此外，分年级设立党小组，党小组组长负责组织日常的学习和思想讨论。为进一步规范党支部的管理，充分发挥党支部培养和发展党员的关键作用，支部制订了《研究生党员管理制度》。</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26</w:t>
      </w:r>
      <w:r>
        <w:rPr>
          <w:rFonts w:hint="eastAsia" w:ascii="仿宋_GB2312" w:hAnsi="仿宋_GB2312" w:eastAsia="仿宋_GB2312" w:cs="仿宋_GB2312"/>
          <w:color w:val="000000"/>
          <w:sz w:val="32"/>
          <w:szCs w:val="32"/>
        </w:rPr>
        <w:t>日，学院研究生党支部在商学院西会议室开展了“两会”专题学习活动。商学院研究生辅导员及研究生党员参加了此次活动。</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二是学生管理情况：我院研究生严格遵守学校各项规章制度，未受到校规校纪、法规法纪处分。</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三是就业情况：</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年，我院研究生签约就业率为</w:t>
      </w:r>
      <w:r>
        <w:rPr>
          <w:rFonts w:hint="eastAsia" w:ascii="仿宋_GB2312" w:hAnsi="仿宋_GB2312" w:eastAsia="仿宋_GB2312" w:cs="仿宋_GB2312"/>
          <w:color w:val="000000"/>
          <w:sz w:val="32"/>
          <w:szCs w:val="32"/>
        </w:rPr>
        <w:t>46.15%</w:t>
      </w:r>
      <w:r>
        <w:rPr>
          <w:rFonts w:hint="eastAsia" w:ascii="仿宋_GB2312" w:hAnsi="仿宋_GB2312" w:eastAsia="仿宋_GB2312" w:cs="仿宋_GB2312"/>
          <w:color w:val="000000"/>
          <w:sz w:val="32"/>
          <w:szCs w:val="32"/>
        </w:rPr>
        <w:t>，并圆满完成研究生就业情况跟踪调查任务。</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jc w:val="center"/>
        <w:textAlignment w:val="auto"/>
        <w:outlineLvl w:val="0"/>
        <w:rPr>
          <w:rFonts w:hint="eastAsia" w:ascii="黑体" w:hAnsi="黑体" w:eastAsia="黑体" w:cs="黑体"/>
          <w:b w:val="0"/>
          <w:bCs w:val="0"/>
          <w:color w:val="000000"/>
          <w:sz w:val="32"/>
          <w:szCs w:val="32"/>
        </w:rPr>
      </w:pPr>
      <w:bookmarkStart w:id="68" w:name="_GoBack"/>
      <w:bookmarkStart w:id="64" w:name="_Toc501461725"/>
      <w:bookmarkStart w:id="65" w:name="_Toc501441624"/>
      <w:r>
        <w:rPr>
          <w:rFonts w:hint="eastAsia" w:ascii="黑体" w:hAnsi="黑体" w:eastAsia="黑体" w:cs="黑体"/>
          <w:b w:val="0"/>
          <w:bCs w:val="0"/>
          <w:color w:val="000000"/>
          <w:sz w:val="32"/>
          <w:szCs w:val="32"/>
        </w:rPr>
        <w:t>第五部分  党建工作</w:t>
      </w:r>
      <w:bookmarkEnd w:id="64"/>
      <w:bookmarkEnd w:id="65"/>
    </w:p>
    <w:bookmarkEnd w:id="68"/>
    <w:p>
      <w:pPr>
        <w:keepNext w:val="0"/>
        <w:keepLines w:val="0"/>
        <w:pageBreakBefore w:val="0"/>
        <w:kinsoku/>
        <w:wordWrap/>
        <w:overflowPunct/>
        <w:topLinePunct w:val="0"/>
        <w:autoSpaceDE/>
        <w:bidi w:val="0"/>
        <w:adjustRightInd/>
        <w:snapToGrid/>
        <w:spacing w:line="560" w:lineRule="exact"/>
        <w:ind w:right="0" w:rightChars="0"/>
        <w:jc w:val="left"/>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 xml:space="preserve"> </w:t>
      </w:r>
      <w:bookmarkStart w:id="66" w:name="_Toc501461726"/>
      <w:bookmarkStart w:id="67" w:name="_Toc501441625"/>
    </w:p>
    <w:p>
      <w:pPr>
        <w:keepNext w:val="0"/>
        <w:keepLines w:val="0"/>
        <w:pageBreakBefore w:val="0"/>
        <w:kinsoku/>
        <w:wordWrap/>
        <w:overflowPunct/>
        <w:topLinePunct w:val="0"/>
        <w:autoSpaceDE/>
        <w:bidi w:val="0"/>
        <w:adjustRightInd/>
        <w:snapToGrid/>
        <w:spacing w:line="560" w:lineRule="exact"/>
        <w:ind w:right="0" w:rightChars="0" w:firstLine="640" w:firstLineChars="200"/>
        <w:jc w:val="left"/>
        <w:textAlignment w:val="auto"/>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一、履行党建责任情况</w:t>
      </w:r>
      <w:bookmarkEnd w:id="66"/>
      <w:bookmarkEnd w:id="67"/>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sz w:val="32"/>
          <w:szCs w:val="32"/>
        </w:rPr>
        <w:t>（一）注重政治学习，不断提高理论素养。</w:t>
      </w:r>
      <w:r>
        <w:rPr>
          <w:rFonts w:hint="eastAsia" w:ascii="仿宋_GB2312" w:hAnsi="仿宋_GB2312" w:eastAsia="仿宋_GB2312" w:cs="仿宋_GB2312"/>
          <w:color w:val="000000"/>
          <w:sz w:val="32"/>
          <w:szCs w:val="32"/>
        </w:rPr>
        <w:t>构建了学院党委理论中心组学习长效机制，制定了《党委理论中心组学习计划》，建立了党支部学习专题研讨机制，组织开展了热点主题“学习会”、“讨论会”等，形成了学院全方位的学习研讨新格局。班子成员</w:t>
      </w:r>
      <w:r>
        <w:rPr>
          <w:rFonts w:hint="eastAsia" w:ascii="仿宋_GB2312" w:hAnsi="仿宋_GB2312" w:eastAsia="仿宋_GB2312" w:cs="仿宋_GB2312"/>
          <w:color w:val="000000"/>
          <w:kern w:val="0"/>
          <w:sz w:val="32"/>
          <w:szCs w:val="32"/>
          <w:shd w:val="clear" w:color="auto" w:fill="FFFFFF"/>
        </w:rPr>
        <w:t>带头讲党课，宣讲十九大精神，解读全国高校思想政治工作会议精神，开展“修身求学，做新时代合格大学生”系列活动，积极发挥政治统领和思想引领作用，促进了学院各项工作健康发展。</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（二）高度关注意识形态工作，确保正确的政治方向。</w:t>
      </w:r>
      <w:r>
        <w:rPr>
          <w:rFonts w:hint="eastAsia" w:ascii="仿宋_GB2312" w:hAnsi="仿宋_GB2312" w:eastAsia="仿宋_GB2312" w:cs="仿宋_GB2312"/>
          <w:color w:val="000000"/>
          <w:kern w:val="0"/>
          <w:sz w:val="32"/>
          <w:szCs w:val="32"/>
          <w:shd w:val="clear" w:color="auto" w:fill="FFFFFF"/>
        </w:rPr>
        <w:t>制定了</w:t>
      </w:r>
      <w:r>
        <w:rPr>
          <w:rFonts w:hint="eastAsia" w:ascii="仿宋_GB2312" w:hAnsi="仿宋_GB2312" w:eastAsia="仿宋_GB2312" w:cs="仿宋_GB2312"/>
          <w:color w:val="000000"/>
          <w:sz w:val="32"/>
          <w:szCs w:val="32"/>
        </w:rPr>
        <w:t>《商学院意识形态工作责任制实施办法》，</w:t>
      </w:r>
      <w:r>
        <w:rPr>
          <w:rFonts w:hint="eastAsia" w:ascii="仿宋_GB2312" w:hAnsi="仿宋_GB2312" w:eastAsia="仿宋_GB2312" w:cs="仿宋_GB2312"/>
          <w:color w:val="000000"/>
          <w:sz w:val="32"/>
          <w:szCs w:val="32"/>
        </w:rPr>
        <w:t>明确了学院党委对意识形态工作的主体责任，建立了党委统一领导、党政工团齐抓共管的意识形态形态工作机制，</w:t>
      </w:r>
      <w:r>
        <w:rPr>
          <w:rFonts w:hint="eastAsia" w:ascii="仿宋_GB2312" w:hAnsi="仿宋_GB2312" w:eastAsia="仿宋_GB2312" w:cs="仿宋_GB2312"/>
          <w:color w:val="000000"/>
          <w:sz w:val="32"/>
          <w:szCs w:val="32"/>
        </w:rPr>
        <w:t>形成了</w:t>
      </w:r>
      <w:r>
        <w:rPr>
          <w:rFonts w:hint="eastAsia" w:ascii="仿宋_GB2312" w:hAnsi="仿宋_GB2312" w:eastAsia="仿宋_GB2312" w:cs="仿宋_GB2312"/>
          <w:color w:val="000000"/>
          <w:sz w:val="32"/>
          <w:szCs w:val="32"/>
        </w:rPr>
        <w:t>“党委书记”带头抓、“党政同责”共同抓、“一岗双责”分别抓、层层落实分级抓的多方位多角度工作格局，有力保证了学院意识形态工作的安全态势。</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sz w:val="32"/>
          <w:szCs w:val="32"/>
        </w:rPr>
        <w:t>（三）强化内部制度建设，推进各项工作规范运行。</w:t>
      </w:r>
      <w:r>
        <w:rPr>
          <w:rFonts w:hint="eastAsia" w:ascii="仿宋_GB2312" w:hAnsi="仿宋_GB2312" w:eastAsia="仿宋_GB2312" w:cs="仿宋_GB2312"/>
          <w:color w:val="000000"/>
          <w:kern w:val="0"/>
          <w:sz w:val="32"/>
          <w:szCs w:val="32"/>
          <w:shd w:val="clear" w:color="auto" w:fill="FFFFFF"/>
        </w:rPr>
        <w:t>坚持党政联席会议制度，坚持“三重一大”议事制度，坚持集体领导和个人分工负责相结合的制度，积极贯彻民主集中制，</w:t>
      </w:r>
      <w:r>
        <w:rPr>
          <w:rFonts w:hint="eastAsia" w:ascii="仿宋_GB2312" w:hAnsi="仿宋_GB2312" w:eastAsia="仿宋_GB2312" w:cs="仿宋_GB2312"/>
          <w:color w:val="000000"/>
          <w:sz w:val="32"/>
          <w:szCs w:val="32"/>
        </w:rPr>
        <w:t>积极推进决策的科学化、民主化，建立班子内部自我监督、自我约束的机制，</w:t>
      </w:r>
      <w:r>
        <w:rPr>
          <w:rFonts w:hint="eastAsia" w:ascii="仿宋_GB2312" w:hAnsi="仿宋_GB2312" w:eastAsia="仿宋_GB2312" w:cs="仿宋_GB2312"/>
          <w:color w:val="000000"/>
          <w:kern w:val="0"/>
          <w:sz w:val="32"/>
          <w:szCs w:val="32"/>
          <w:shd w:val="clear" w:color="auto" w:fill="FFFFFF"/>
        </w:rPr>
        <w:t>形成了强有力的领导集体和战斗集体。先后制定了《</w:t>
      </w:r>
      <w:r>
        <w:rPr>
          <w:rFonts w:hint="eastAsia" w:ascii="仿宋_GB2312" w:hAnsi="仿宋_GB2312" w:eastAsia="仿宋_GB2312" w:cs="仿宋_GB2312"/>
          <w:color w:val="000000"/>
          <w:sz w:val="32"/>
          <w:szCs w:val="32"/>
        </w:rPr>
        <w:t>商学院意识形态工作责任制实施办法</w:t>
      </w:r>
      <w:r>
        <w:rPr>
          <w:rFonts w:hint="eastAsia" w:ascii="仿宋_GB2312" w:hAnsi="仿宋_GB2312" w:eastAsia="仿宋_GB2312" w:cs="仿宋_GB2312"/>
          <w:color w:val="000000"/>
          <w:kern w:val="0"/>
          <w:sz w:val="32"/>
          <w:szCs w:val="32"/>
          <w:shd w:val="clear" w:color="auto" w:fill="FFFFFF"/>
        </w:rPr>
        <w:t>》、《</w:t>
      </w:r>
      <w:r>
        <w:rPr>
          <w:rFonts w:hint="eastAsia" w:ascii="仿宋_GB2312" w:hAnsi="仿宋_GB2312" w:eastAsia="仿宋_GB2312" w:cs="仿宋_GB2312"/>
          <w:color w:val="000000"/>
          <w:sz w:val="32"/>
          <w:szCs w:val="32"/>
        </w:rPr>
        <w:t>商学院学生安全教育及管理办法》</w:t>
      </w:r>
      <w:r>
        <w:rPr>
          <w:rFonts w:hint="eastAsia" w:ascii="仿宋_GB2312" w:hAnsi="仿宋_GB2312" w:eastAsia="仿宋_GB2312" w:cs="仿宋_GB2312"/>
          <w:color w:val="000000"/>
          <w:kern w:val="0"/>
          <w:sz w:val="32"/>
          <w:szCs w:val="32"/>
          <w:shd w:val="clear" w:color="auto" w:fill="FFFFFF"/>
        </w:rPr>
        <w:t>》、《</w:t>
      </w:r>
      <w:r>
        <w:rPr>
          <w:rFonts w:hint="eastAsia" w:ascii="仿宋_GB2312" w:hAnsi="仿宋_GB2312" w:eastAsia="仿宋_GB2312" w:cs="仿宋_GB2312"/>
          <w:color w:val="000000"/>
          <w:kern w:val="0"/>
          <w:sz w:val="32"/>
          <w:szCs w:val="32"/>
        </w:rPr>
        <w:t>商学院关于进一步严肃工作纪律的通知</w:t>
      </w:r>
      <w:r>
        <w:rPr>
          <w:rFonts w:hint="eastAsia" w:ascii="仿宋_GB2312" w:hAnsi="仿宋_GB2312" w:eastAsia="仿宋_GB2312" w:cs="仿宋_GB2312"/>
          <w:color w:val="000000"/>
          <w:kern w:val="0"/>
          <w:sz w:val="32"/>
          <w:szCs w:val="32"/>
          <w:shd w:val="clear" w:color="auto" w:fill="FFFFFF"/>
        </w:rPr>
        <w:t>》等，有效推动了学院工作健康有序发展。</w:t>
      </w:r>
    </w:p>
    <w:p>
      <w:pPr>
        <w:keepNext w:val="0"/>
        <w:keepLines w:val="0"/>
        <w:pageBreakBefore w:val="0"/>
        <w:kinsoku/>
        <w:wordWrap/>
        <w:overflowPunct/>
        <w:topLinePunct w:val="0"/>
        <w:autoSpaceDE/>
        <w:bidi w:val="0"/>
        <w:adjustRightInd/>
        <w:snapToGrid/>
        <w:spacing w:line="560" w:lineRule="exact"/>
        <w:ind w:right="0" w:rightChars="0" w:firstLine="571"/>
        <w:textAlignment w:val="auto"/>
        <w:rPr>
          <w:rFonts w:hint="eastAsia" w:ascii="仿宋_GB2312" w:hAnsi="仿宋_GB2312" w:eastAsia="仿宋_GB2312" w:cs="仿宋_GB2312"/>
          <w:color w:val="000000"/>
          <w:spacing w:val="-2"/>
          <w:kern w:val="0"/>
          <w:position w:val="2"/>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（四）大力推进作风建设，扎实</w:t>
      </w:r>
      <w:r>
        <w:rPr>
          <w:rFonts w:hint="eastAsia" w:ascii="仿宋_GB2312" w:hAnsi="仿宋_GB2312" w:eastAsia="仿宋_GB2312" w:cs="仿宋_GB2312"/>
          <w:color w:val="000000"/>
          <w:sz w:val="32"/>
          <w:szCs w:val="32"/>
        </w:rPr>
        <w:t>筑牢思想道德防线。</w:t>
      </w:r>
      <w:r>
        <w:rPr>
          <w:rFonts w:hint="eastAsia" w:ascii="仿宋_GB2312" w:hAnsi="仿宋_GB2312" w:eastAsia="仿宋_GB2312" w:cs="仿宋_GB2312"/>
          <w:color w:val="000000"/>
          <w:sz w:val="32"/>
          <w:szCs w:val="32"/>
        </w:rPr>
        <w:t>认真</w:t>
      </w:r>
      <w:r>
        <w:rPr>
          <w:rFonts w:hint="eastAsia" w:ascii="仿宋_GB2312" w:hAnsi="仿宋_GB2312" w:eastAsia="仿宋_GB2312" w:cs="仿宋_GB2312"/>
          <w:color w:val="000000"/>
          <w:sz w:val="32"/>
          <w:szCs w:val="32"/>
        </w:rPr>
        <w:t>贯彻落实中央八项规定精神和纠正“四风”工作，利用党政联席会、民主生活会、组织生活会、党风廉政建设分析会等多种形式加强党风廉政建设，强化规矩和纪律意识。</w:t>
      </w:r>
      <w:r>
        <w:rPr>
          <w:rFonts w:hint="eastAsia" w:ascii="仿宋_GB2312" w:hAnsi="仿宋_GB2312" w:eastAsia="仿宋_GB2312" w:cs="仿宋_GB2312"/>
          <w:color w:val="000000"/>
          <w:spacing w:val="-2"/>
          <w:kern w:val="0"/>
          <w:position w:val="2"/>
          <w:sz w:val="32"/>
          <w:szCs w:val="32"/>
          <w:shd w:val="clear" w:color="auto" w:fill="FFFFFF"/>
        </w:rPr>
        <w:t>切实增强政治警觉和政治鉴别力，做到政治方向不偏、政治信仰不变、政治立场不移，以顽强的毅力和不屈的韧劲，保持勇于担当的政治品格和持之以恒改进工作作风。</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二、开展特色党建创建活动，确保党的生活健康与活力</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按照“围绕发展抓党建、抓好党建促发展”的工作理念，以《河北经贸大学创建一流党建实施方案》为依据，全面加强党的基层组织建设、党员队伍建设和基层民主政治建设，积极探索新时代特色党建的新机制、新方法、新形式，不断提高人才培养质量。</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（一）构建“党建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”工作机制。</w:t>
      </w:r>
      <w:r>
        <w:rPr>
          <w:rFonts w:hint="eastAsia" w:ascii="仿宋_GB2312" w:hAnsi="仿宋_GB2312" w:eastAsia="仿宋_GB2312" w:cs="仿宋_GB2312"/>
          <w:color w:val="000000"/>
          <w:sz w:val="32"/>
          <w:szCs w:val="32"/>
        </w:rPr>
        <w:t>紧密结合学校和学院中心工作，以党建工作常态化、创新化为思路，构建“党建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”工作机制，</w:t>
      </w:r>
      <w:r>
        <w:rPr>
          <w:rFonts w:hint="eastAsia" w:ascii="仿宋_GB2312" w:hAnsi="仿宋_GB2312" w:eastAsia="仿宋_GB2312" w:cs="仿宋_GB2312"/>
          <w:color w:val="000000"/>
          <w:kern w:val="0"/>
          <w:sz w:val="32"/>
          <w:szCs w:val="32"/>
          <w:shd w:val="clear" w:color="auto" w:fill="FFFFFF"/>
        </w:rPr>
        <w:t>努力提高党组织的凝聚力、向心力和战斗力，团结带领全院师生凝心聚力，共同奋斗，较好地推动了学院各项工作的发展。</w:t>
      </w:r>
      <w:r>
        <w:rPr>
          <w:rFonts w:hint="eastAsia" w:ascii="仿宋_GB2312" w:hAnsi="仿宋_GB2312" w:eastAsia="仿宋_GB2312" w:cs="仿宋_GB2312"/>
          <w:color w:val="000000"/>
          <w:sz w:val="32"/>
          <w:szCs w:val="32"/>
        </w:rPr>
        <w:t>一是围绕意识形态工作开展了“党建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师德建设”活动，引导广大教师以德立身、以德立学、以德施教，爱岗敬业、严谨治学，认真履行教书育人的天职；二是围绕“双一流”建设和争博工作开展了“党建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学科建设”活动，引导党员教师积极承担科研任务，促进学科建设扎实推进，稳步提高；三是围绕“立德树人”工作开展了“党建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教风学风建设”活动，出台了《</w:t>
      </w:r>
      <w:r>
        <w:rPr>
          <w:rFonts w:hint="eastAsia" w:ascii="仿宋_GB2312" w:hAnsi="仿宋_GB2312" w:eastAsia="仿宋_GB2312" w:cs="仿宋_GB2312"/>
          <w:color w:val="000000"/>
          <w:kern w:val="0"/>
          <w:sz w:val="32"/>
          <w:szCs w:val="32"/>
        </w:rPr>
        <w:t>商学院加强教风学风建设工作方案》，号召党员教师切实履行育人天职，</w:t>
      </w:r>
      <w:r>
        <w:rPr>
          <w:rFonts w:hint="eastAsia" w:ascii="仿宋_GB2312" w:hAnsi="仿宋_GB2312" w:eastAsia="仿宋_GB2312" w:cs="仿宋_GB2312"/>
          <w:color w:val="000000"/>
          <w:sz w:val="32"/>
          <w:szCs w:val="32"/>
        </w:rPr>
        <w:t>积极营造良好教风学风；四是围绕学习贯彻全国高校思想政治工作会议精神和党的十九大精神开展了“党建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社会实践”、“党建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志愿服务”活动，要求教师深入社会，了解社会、服务社会，坚持理论联系实际，注重学以致用，发挥引领示范作用，取得了良好成效。</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（二）建立“党员</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”联系制度。</w:t>
      </w:r>
      <w:r>
        <w:rPr>
          <w:rFonts w:hint="eastAsia" w:ascii="仿宋_GB2312" w:hAnsi="仿宋_GB2312" w:eastAsia="仿宋_GB2312" w:cs="仿宋_GB2312"/>
          <w:color w:val="000000"/>
          <w:sz w:val="32"/>
          <w:szCs w:val="32"/>
        </w:rPr>
        <w:t>建立了“党员</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联系群众制度，在思想上高度重视群众工作，广泛听取群众意见，深入密切党群关系，推进学院民主管理。一是党委成员联系群众制度。坚持深入教研室、深入课堂、深入学生中间，虚心听取群众意见，关注师生热点问题，有针对性地解决问题；二是教工党员联系教工群众制度。要求每名党员至少联系</w:t>
      </w: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名群众，定期沟通思想，征求意见，引领参加各种教学沙龙、学术论坛、讲课比赛等活动，促进学校“双一流”建设和精品学科建设；三是教工党员联系普通学生制度。教工党员要及时听取学生呼声，了解学生动态，在专业学习、职业规划、考研就业、日常生活等方面为学生提供帮扶；四是学生党员联系普通学生制度。学生党员要及时关注学生动态，掌握实际情况，发挥表率作用，带动良好班风学风。</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（三）构筑“精品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”人才培养模式。</w:t>
      </w:r>
      <w:r>
        <w:rPr>
          <w:rFonts w:hint="eastAsia" w:ascii="仿宋_GB2312" w:hAnsi="仿宋_GB2312" w:eastAsia="仿宋_GB2312" w:cs="仿宋_GB2312"/>
          <w:color w:val="000000"/>
          <w:sz w:val="32"/>
          <w:szCs w:val="32"/>
        </w:rPr>
        <w:t>结合专业特点，探索出了“精品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”大学生人才培养模式。系列“精品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”活动有针对性，有特色，形式灵活，参与度高，激发了人才培养的内在动力。一是“精品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特色培养”。学院连续</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年联合河北省贸促会组织开展“河北省中小外贸企业校园招聘会”活动，社会反响良好，就业率明显提高。与省贸促会联合举办的“国贸精品班”深受学生欢迎，并得到长城网、燕赵都市报等多家媒体的报道。二是“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志愿服务”。创建了精品志愿服务</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“萤火支教”团队。该团队于</w:t>
      </w:r>
      <w:r>
        <w:rPr>
          <w:rFonts w:hint="eastAsia"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年暑期开展的以“精准扶贫，关爱留守儿童”为主题的赴平山县营里乡小学萤火支教暑期社会实践活动得到河北新闻网等媒体的报道。三是“精品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创新创业”。学院高度重视培养学生的创新创业意识，采取有力措施激发同学们敢为人先的品质，在挑战杯、互联网</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、创新创意与创业挑战赛等活动中，取得了</w:t>
      </w:r>
      <w:r>
        <w:rPr>
          <w:rFonts w:hint="eastAsia" w:ascii="仿宋_GB2312" w:hAnsi="仿宋_GB2312" w:eastAsia="仿宋_GB2312" w:cs="仿宋_GB2312"/>
          <w:color w:val="000000"/>
          <w:sz w:val="32"/>
          <w:szCs w:val="32"/>
        </w:rPr>
        <w:t>14</w:t>
      </w:r>
      <w:r>
        <w:rPr>
          <w:rFonts w:hint="eastAsia" w:ascii="仿宋_GB2312" w:hAnsi="仿宋_GB2312" w:eastAsia="仿宋_GB2312" w:cs="仿宋_GB2312"/>
          <w:color w:val="000000"/>
          <w:sz w:val="32"/>
          <w:szCs w:val="32"/>
        </w:rPr>
        <w:t>项省部级及以上奖项。</w:t>
      </w:r>
      <w:r>
        <w:rPr>
          <w:rFonts w:hint="eastAsia" w:ascii="仿宋_GB2312" w:hAnsi="仿宋_GB2312" w:eastAsia="仿宋_GB2312" w:cs="仿宋_GB2312"/>
          <w:color w:val="000000"/>
          <w:sz w:val="32"/>
          <w:szCs w:val="32"/>
        </w:rPr>
        <w:t xml:space="preserve">    </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三、坚持思想引领，扎实推进立德树人工作</w:t>
      </w:r>
    </w:p>
    <w:p>
      <w:pPr>
        <w:keepNext w:val="0"/>
        <w:keepLines w:val="0"/>
        <w:pageBreakBefore w:val="0"/>
        <w:kinsoku/>
        <w:wordWrap/>
        <w:overflowPunct/>
        <w:topLinePunct w:val="0"/>
        <w:autoSpaceDE/>
        <w:bidi w:val="0"/>
        <w:adjustRightInd/>
        <w:snapToGrid/>
        <w:spacing w:line="560" w:lineRule="exact"/>
        <w:ind w:right="0" w:rightChars="0" w:firstLine="652"/>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按照“两学一做”学习教育制度化、常态化要求，结合党的十九大精神和全国高校思想政治工作会议精神的学习，紧紧围绕社会主义核心价值观教育，突出常态化和持续性的特点，全面推进立德树人工作。</w:t>
      </w:r>
      <w:r>
        <w:rPr>
          <w:rFonts w:hint="eastAsia" w:ascii="仿宋_GB2312" w:hAnsi="仿宋_GB2312" w:eastAsia="仿宋_GB2312" w:cs="仿宋_GB2312"/>
          <w:color w:val="000000"/>
          <w:sz w:val="32"/>
          <w:szCs w:val="32"/>
        </w:rPr>
        <w:t xml:space="preserve"> </w:t>
      </w:r>
    </w:p>
    <w:p>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（一）切实发挥“两支队伍”作用，全面提高思想政治工作实际效果。</w:t>
      </w:r>
      <w:r>
        <w:rPr>
          <w:rFonts w:hint="eastAsia" w:ascii="仿宋_GB2312" w:hAnsi="仿宋_GB2312" w:eastAsia="仿宋_GB2312" w:cs="仿宋_GB2312"/>
          <w:color w:val="000000"/>
          <w:kern w:val="0"/>
          <w:sz w:val="32"/>
          <w:szCs w:val="32"/>
        </w:rPr>
        <w:t>一是发挥专职教师在人才培养与教书育人中的主力军作用。</w:t>
      </w:r>
      <w:r>
        <w:rPr>
          <w:rFonts w:hint="eastAsia" w:ascii="仿宋_GB2312" w:hAnsi="仿宋_GB2312" w:eastAsia="仿宋_GB2312" w:cs="仿宋_GB2312"/>
          <w:color w:val="000000"/>
          <w:sz w:val="32"/>
          <w:szCs w:val="32"/>
          <w:shd w:val="clear" w:color="auto" w:fill="FFFFFF"/>
        </w:rPr>
        <w:t>按照有理想信念、有道德情操、有扎实学识、有仁爱之心的“四有”标准，建立健全师德建设长效机制，</w:t>
      </w:r>
      <w:r>
        <w:rPr>
          <w:rFonts w:hint="eastAsia" w:ascii="仿宋_GB2312" w:hAnsi="仿宋_GB2312" w:eastAsia="仿宋_GB2312" w:cs="仿宋_GB2312"/>
          <w:color w:val="000000"/>
          <w:kern w:val="0"/>
          <w:sz w:val="32"/>
          <w:szCs w:val="32"/>
        </w:rPr>
        <w:t>用好课堂教学主渠道，使专业课程与思想教育同向同行，形成协同效应。同时要求</w:t>
      </w:r>
      <w:r>
        <w:rPr>
          <w:rFonts w:hint="eastAsia" w:ascii="仿宋_GB2312" w:hAnsi="仿宋_GB2312" w:eastAsia="仿宋_GB2312" w:cs="仿宋_GB2312"/>
          <w:color w:val="000000"/>
          <w:spacing w:val="9"/>
          <w:sz w:val="32"/>
          <w:szCs w:val="32"/>
        </w:rPr>
        <w:t>教师牢固树立课堂教学“底线”意识，严守政治纪律，</w:t>
      </w:r>
      <w:r>
        <w:rPr>
          <w:rFonts w:hint="eastAsia" w:ascii="仿宋_GB2312" w:hAnsi="仿宋_GB2312" w:eastAsia="仿宋_GB2312" w:cs="仿宋_GB2312"/>
          <w:color w:val="000000"/>
          <w:kern w:val="0"/>
          <w:sz w:val="32"/>
          <w:szCs w:val="32"/>
        </w:rPr>
        <w:t>坚持以德立身、以德立学、以德施教，积极</w:t>
      </w:r>
      <w:r>
        <w:rPr>
          <w:rFonts w:hint="eastAsia" w:ascii="仿宋_GB2312" w:hAnsi="仿宋_GB2312" w:eastAsia="仿宋_GB2312" w:cs="仿宋_GB2312"/>
          <w:color w:val="000000"/>
          <w:spacing w:val="9"/>
          <w:sz w:val="32"/>
          <w:szCs w:val="32"/>
        </w:rPr>
        <w:t>传播正能量。二是</w:t>
      </w:r>
      <w:r>
        <w:rPr>
          <w:rFonts w:hint="eastAsia" w:ascii="仿宋_GB2312" w:hAnsi="仿宋_GB2312" w:eastAsia="仿宋_GB2312" w:cs="仿宋_GB2312"/>
          <w:color w:val="000000"/>
          <w:kern w:val="0"/>
          <w:sz w:val="32"/>
          <w:szCs w:val="32"/>
        </w:rPr>
        <w:t>发挥辅导员在学生健康成长中的指导者和引路人的作用。要求全体辅导员要积极策划寓教于乐、寓学于乐的活动，紧跟时代步伐，采用学生喜闻乐见的形式开展思想政治教育。方法上要遵循学生的成长规律，坚持以理服人、以情感人、平等交流，不断提高学生思想水平、政治觉悟、道德品质、文化素养；内容上要坚持扎根中国、融通中外、立足时代、面向未来的理念，借助党的历史、改革开放、国际形势等熏陶学生思想，提高思想政治教育的效果。手段上要善于运用新媒体新技术，推动思想政治工作传统优势同信息技术高度融合，增强思想政治工作时代感和吸引力。</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（二）精心打造育人品牌，助推思想阵地建设。</w:t>
      </w:r>
      <w:r>
        <w:rPr>
          <w:rFonts w:hint="eastAsia" w:ascii="仿宋_GB2312" w:hAnsi="仿宋_GB2312" w:eastAsia="仿宋_GB2312" w:cs="仿宋_GB2312"/>
          <w:color w:val="000000"/>
          <w:sz w:val="32"/>
          <w:szCs w:val="32"/>
        </w:rPr>
        <w:t>按照</w:t>
      </w:r>
      <w:r>
        <w:rPr>
          <w:rFonts w:hint="eastAsia" w:ascii="仿宋_GB2312" w:hAnsi="仿宋_GB2312" w:eastAsia="仿宋_GB2312" w:cs="仿宋_GB2312"/>
          <w:color w:val="000000"/>
          <w:sz w:val="32"/>
          <w:szCs w:val="32"/>
        </w:rPr>
        <w:t>社会主义核心价值观的教育特点，学院坚持以丰富多彩的活动精心打造“五个工程”育人品牌，即“灵魂塑造工程、文化育人工程、体育强身工程、实践锻炼工程、素质培养工程”。坚持以党建带团建的形式开展了诚信励志、修身求学、志愿服务、社会实践、文明宿舍等系列活动，开展了</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走下网络、走出宿舍、走向操场”的三走活动，开展了以专业为基础的沙盘模拟大赛、中华魂征文比赛、市场调研大赛、国际商务谈判大赛、“商贸精英”财经杯挑战赛等活动，寓教于乐，寓教于行，活动范围广，学生参与度高，在提升学生综合素质的同时，加强了思想引领，提升了核心价值观的教育效果，创建了文明、和谐、健康、向上的良好院风。</w:t>
      </w:r>
    </w:p>
    <w:p>
      <w:pPr>
        <w:keepNext w:val="0"/>
        <w:keepLines w:val="0"/>
        <w:pageBreakBefore w:val="0"/>
        <w:kinsoku/>
        <w:wordWrap/>
        <w:overflowPunct/>
        <w:topLinePunct w:val="0"/>
        <w:autoSpaceDE/>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四、工作中存在的问题与改进措施</w:t>
      </w:r>
    </w:p>
    <w:p>
      <w:pPr>
        <w:keepNext w:val="0"/>
        <w:keepLines w:val="0"/>
        <w:pageBreakBefore w:val="0"/>
        <w:kinsoku/>
        <w:wordWrap/>
        <w:overflowPunct/>
        <w:topLinePunct w:val="0"/>
        <w:autoSpaceDE/>
        <w:bidi w:val="0"/>
        <w:adjustRightInd/>
        <w:snapToGrid/>
        <w:spacing w:line="560" w:lineRule="exact"/>
        <w:ind w:right="0" w:rightChars="0" w:firstLine="652"/>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班子成员坚持做到以身作则，以上率下，顾全大局，敢于担当，</w:t>
      </w:r>
      <w:r>
        <w:rPr>
          <w:rFonts w:hint="eastAsia" w:ascii="仿宋_GB2312" w:hAnsi="仿宋_GB2312" w:eastAsia="仿宋_GB2312" w:cs="仿宋_GB2312"/>
          <w:color w:val="000000"/>
          <w:sz w:val="32"/>
          <w:szCs w:val="32"/>
        </w:rPr>
        <w:t>但也存在以下问题：一是深入师生的主动性不够强。二是创新党建和思想政治工作的方法不够足。今后一定要加强政治理论学习，不断提高理论素养和党性修养，坚持以立德树人为根本，努力探索新时代党建和思想政治工作新思路、新方法，全面推进“一流党建”和思想政治工作，引导广大师生不忘初心，牢记使命，为实现中华民族伟大复兴的中国梦而不懈奋斗。</w:t>
      </w:r>
    </w:p>
    <w:p>
      <w:pPr>
        <w:keepNext w:val="0"/>
        <w:keepLines w:val="0"/>
        <w:pageBreakBefore w:val="0"/>
        <w:kinsoku/>
        <w:wordWrap/>
        <w:overflowPunct/>
        <w:topLinePunct w:val="0"/>
        <w:autoSpaceDE/>
        <w:bidi w:val="0"/>
        <w:adjustRightInd/>
        <w:snapToGrid/>
        <w:spacing w:line="560" w:lineRule="exact"/>
        <w:ind w:right="0" w:rightChars="0" w:firstLine="652"/>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附：商学院领导班子工作材料</w:t>
      </w:r>
    </w:p>
    <w:p>
      <w:pPr>
        <w:keepNext w:val="0"/>
        <w:keepLines w:val="0"/>
        <w:pageBreakBefore w:val="0"/>
        <w:kinsoku/>
        <w:wordWrap/>
        <w:overflowPunct/>
        <w:topLinePunct w:val="0"/>
        <w:autoSpaceDE/>
        <w:bidi w:val="0"/>
        <w:adjustRightInd/>
        <w:snapToGrid/>
        <w:spacing w:line="560" w:lineRule="exact"/>
        <w:ind w:right="0" w:rightChars="0" w:firstLine="652"/>
        <w:jc w:val="left"/>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firstLine="652"/>
        <w:jc w:val="left"/>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bidi w:val="0"/>
        <w:adjustRightInd/>
        <w:snapToGrid/>
        <w:spacing w:line="560" w:lineRule="exact"/>
        <w:ind w:right="0" w:rightChars="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2017</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日</w:t>
      </w:r>
    </w:p>
    <w:p>
      <w:pPr>
        <w:keepNext w:val="0"/>
        <w:keepLines w:val="0"/>
        <w:pageBreakBefore w:val="0"/>
        <w:shd w:val="solid" w:color="FFFFFF" w:fill="000000"/>
        <w:kinsoku/>
        <w:wordWrap/>
        <w:overflowPunct/>
        <w:topLinePunct w:val="0"/>
        <w:autoSpaceDE/>
        <w:autoSpaceDN w:val="0"/>
        <w:bidi w:val="0"/>
        <w:adjustRightInd/>
        <w:snapToGrid/>
        <w:spacing w:line="560" w:lineRule="exact"/>
        <w:ind w:right="0" w:rightChars="0" w:firstLine="640" w:firstLineChars="200"/>
        <w:jc w:val="left"/>
        <w:textAlignment w:val="auto"/>
        <w:rPr>
          <w:rFonts w:hint="eastAsia" w:ascii="仿宋_GB2312" w:hAnsi="仿宋_GB2312" w:eastAsia="仿宋_GB2312" w:cs="仿宋_GB2312"/>
          <w:color w:val="000000"/>
          <w:sz w:val="32"/>
          <w:szCs w:val="32"/>
        </w:rPr>
      </w:pPr>
    </w:p>
    <w:sectPr>
      <w:footerReference r:id="rId3" w:type="default"/>
      <w:pgSz w:w="11906" w:h="16838"/>
      <w:pgMar w:top="1389" w:right="1418" w:bottom="1389" w:left="180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jc w:val="center"/>
      <w:rPr>
        <w:rFonts w:cs="Times New Roman"/>
      </w:rPr>
    </w:pPr>
  </w:p>
  <w:p>
    <w:pPr>
      <w:pStyle w:val="4"/>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31DA"/>
    <w:rsid w:val="00016250"/>
    <w:rsid w:val="00051E62"/>
    <w:rsid w:val="00053487"/>
    <w:rsid w:val="00097052"/>
    <w:rsid w:val="000B7716"/>
    <w:rsid w:val="00162B71"/>
    <w:rsid w:val="00183506"/>
    <w:rsid w:val="00184CE2"/>
    <w:rsid w:val="001C1194"/>
    <w:rsid w:val="001D7A45"/>
    <w:rsid w:val="002205B3"/>
    <w:rsid w:val="00225917"/>
    <w:rsid w:val="00235F6A"/>
    <w:rsid w:val="00243110"/>
    <w:rsid w:val="00254DB8"/>
    <w:rsid w:val="002830DD"/>
    <w:rsid w:val="00292992"/>
    <w:rsid w:val="002C2D41"/>
    <w:rsid w:val="002C5C55"/>
    <w:rsid w:val="00316924"/>
    <w:rsid w:val="003E5F02"/>
    <w:rsid w:val="00437533"/>
    <w:rsid w:val="004A4462"/>
    <w:rsid w:val="004E4BD2"/>
    <w:rsid w:val="005505AA"/>
    <w:rsid w:val="0056560F"/>
    <w:rsid w:val="005D6903"/>
    <w:rsid w:val="00612324"/>
    <w:rsid w:val="006A2754"/>
    <w:rsid w:val="006A27D6"/>
    <w:rsid w:val="006B444B"/>
    <w:rsid w:val="006C2534"/>
    <w:rsid w:val="006D1B07"/>
    <w:rsid w:val="00763218"/>
    <w:rsid w:val="00786A97"/>
    <w:rsid w:val="007A4935"/>
    <w:rsid w:val="007A74C5"/>
    <w:rsid w:val="007A775E"/>
    <w:rsid w:val="007B7738"/>
    <w:rsid w:val="007C4B6D"/>
    <w:rsid w:val="008350A1"/>
    <w:rsid w:val="0086237B"/>
    <w:rsid w:val="008942F9"/>
    <w:rsid w:val="008F20C6"/>
    <w:rsid w:val="00943414"/>
    <w:rsid w:val="009779E8"/>
    <w:rsid w:val="00981718"/>
    <w:rsid w:val="009C3A1B"/>
    <w:rsid w:val="009E6F66"/>
    <w:rsid w:val="00A64BAF"/>
    <w:rsid w:val="00A804A1"/>
    <w:rsid w:val="00B0619D"/>
    <w:rsid w:val="00B26054"/>
    <w:rsid w:val="00B4563C"/>
    <w:rsid w:val="00B4733E"/>
    <w:rsid w:val="00B83C2B"/>
    <w:rsid w:val="00C55A05"/>
    <w:rsid w:val="00CB6D0E"/>
    <w:rsid w:val="00D12949"/>
    <w:rsid w:val="00D32AC8"/>
    <w:rsid w:val="00D47087"/>
    <w:rsid w:val="00DC198A"/>
    <w:rsid w:val="00DE31DA"/>
    <w:rsid w:val="00E34E8B"/>
    <w:rsid w:val="00E363FE"/>
    <w:rsid w:val="00E40575"/>
    <w:rsid w:val="00E55FDC"/>
    <w:rsid w:val="00EC2ABF"/>
    <w:rsid w:val="00F16899"/>
    <w:rsid w:val="00F356D6"/>
    <w:rsid w:val="00FA6CC9"/>
    <w:rsid w:val="00FC2499"/>
    <w:rsid w:val="00FE7239"/>
    <w:rsid w:val="266B422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character" w:default="1" w:styleId="8">
    <w:name w:val="Default Paragraph Font"/>
    <w:semiHidden/>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semiHidden/>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iPriority w:val="99"/>
  </w:style>
  <w:style w:type="paragraph" w:styleId="7">
    <w:name w:val="toc 2"/>
    <w:basedOn w:val="1"/>
    <w:next w:val="1"/>
    <w:semiHidden/>
    <w:uiPriority w:val="99"/>
    <w:pPr>
      <w:ind w:left="420" w:leftChars="200"/>
    </w:pPr>
  </w:style>
  <w:style w:type="character" w:styleId="9">
    <w:name w:val="page number"/>
    <w:basedOn w:val="8"/>
    <w:uiPriority w:val="99"/>
  </w:style>
  <w:style w:type="character" w:styleId="10">
    <w:name w:val="Hyperlink"/>
    <w:basedOn w:val="8"/>
    <w:uiPriority w:val="99"/>
    <w:rPr>
      <w:color w:val="0000FF"/>
      <w:u w:val="single"/>
    </w:rPr>
  </w:style>
  <w:style w:type="character" w:customStyle="1" w:styleId="12">
    <w:name w:val="Heading 1 Char"/>
    <w:basedOn w:val="8"/>
    <w:link w:val="2"/>
    <w:locked/>
    <w:uiPriority w:val="99"/>
    <w:rPr>
      <w:b/>
      <w:bCs/>
      <w:kern w:val="44"/>
      <w:sz w:val="44"/>
      <w:szCs w:val="44"/>
    </w:rPr>
  </w:style>
  <w:style w:type="character" w:customStyle="1" w:styleId="13">
    <w:name w:val="Header Char"/>
    <w:basedOn w:val="8"/>
    <w:link w:val="5"/>
    <w:semiHidden/>
    <w:locked/>
    <w:uiPriority w:val="99"/>
    <w:rPr>
      <w:sz w:val="18"/>
      <w:szCs w:val="18"/>
    </w:rPr>
  </w:style>
  <w:style w:type="character" w:customStyle="1" w:styleId="14">
    <w:name w:val="Footer Char"/>
    <w:basedOn w:val="8"/>
    <w:link w:val="4"/>
    <w:qFormat/>
    <w:locked/>
    <w:uiPriority w:val="99"/>
    <w:rPr>
      <w:sz w:val="18"/>
      <w:szCs w:val="18"/>
    </w:rPr>
  </w:style>
  <w:style w:type="paragraph" w:customStyle="1" w:styleId="15">
    <w:name w:val="TOC Heading"/>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16">
    <w:name w:val="Balloon Text Char"/>
    <w:basedOn w:val="8"/>
    <w:link w:val="3"/>
    <w:semiHidden/>
    <w:locked/>
    <w:uiPriority w:val="99"/>
    <w:rPr>
      <w:sz w:val="18"/>
      <w:szCs w:val="18"/>
    </w:rPr>
  </w:style>
  <w:style w:type="paragraph" w:customStyle="1" w:styleId="17">
    <w:name w:val="Char Char1 Char"/>
    <w:basedOn w:val="1"/>
    <w:uiPriority w:val="99"/>
    <w:rPr>
      <w:rFonts w:ascii="仿宋_GB2312" w:hAnsi="Times New Roman" w:eastAsia="仿宋_GB2312" w:cs="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22</Pages>
  <Words>1638</Words>
  <Characters>9337</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2017-12-19T01:33:00Z</dcterms:created>
  <dc:creator>PC</dc:creator>
  <cp:lastModifiedBy>l</cp:lastModifiedBy>
  <cp:lastPrinted>2017-12-20T01:23:00Z</cp:lastPrinted>
  <dcterms:modified xsi:type="dcterms:W3CDTF">2017-12-25T03:04:46Z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