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bidi w:val="0"/>
        <w:snapToGrid w:val="0"/>
        <w:spacing w:line="560" w:lineRule="exact"/>
        <w:ind w:left="0" w:leftChars="0" w:right="0" w:rightChars="0"/>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2017</w:t>
      </w:r>
      <w:r>
        <w:rPr>
          <w:rFonts w:hint="eastAsia" w:ascii="方正小标宋简体" w:hAnsi="方正小标宋简体" w:eastAsia="方正小标宋简体" w:cs="方正小标宋简体"/>
          <w:b w:val="0"/>
          <w:bCs w:val="0"/>
          <w:color w:val="000000"/>
          <w:sz w:val="44"/>
          <w:szCs w:val="44"/>
        </w:rPr>
        <w:t>年</w:t>
      </w:r>
      <w:r>
        <w:rPr>
          <w:rFonts w:hint="eastAsia" w:ascii="方正小标宋简体" w:hAnsi="方正小标宋简体" w:eastAsia="方正小标宋简体" w:cs="方正小标宋简体"/>
          <w:b w:val="0"/>
          <w:bCs w:val="0"/>
          <w:color w:val="000000"/>
          <w:sz w:val="44"/>
          <w:szCs w:val="44"/>
          <w:lang w:eastAsia="zh-CN"/>
        </w:rPr>
        <w:t>度</w:t>
      </w:r>
      <w:r>
        <w:rPr>
          <w:rFonts w:hint="eastAsia" w:ascii="方正小标宋简体" w:hAnsi="方正小标宋简体" w:eastAsia="方正小标宋简体" w:cs="方正小标宋简体"/>
          <w:b w:val="0"/>
          <w:bCs w:val="0"/>
          <w:color w:val="000000"/>
          <w:sz w:val="44"/>
          <w:szCs w:val="44"/>
        </w:rPr>
        <w:t>工作总结</w:t>
      </w:r>
    </w:p>
    <w:p>
      <w:pPr>
        <w:keepNext w:val="0"/>
        <w:keepLines w:val="0"/>
        <w:pageBreakBefore w:val="0"/>
        <w:kinsoku/>
        <w:wordWrap/>
        <w:overflowPunct/>
        <w:topLinePunct w:val="0"/>
        <w:bidi w:val="0"/>
        <w:snapToGrid w:val="0"/>
        <w:spacing w:line="560" w:lineRule="exact"/>
        <w:ind w:left="0" w:leftChars="0" w:right="0" w:rightChars="0"/>
        <w:jc w:val="center"/>
        <w:textAlignment w:val="auto"/>
        <w:outlineLvl w:val="9"/>
        <w:rPr>
          <w:rFonts w:hint="eastAsia" w:ascii="楷体_GB2312" w:hAnsi="楷体_GB2312" w:eastAsia="楷体_GB2312" w:cs="楷体_GB2312"/>
          <w:b w:val="0"/>
          <w:bCs w:val="0"/>
          <w:color w:val="000000"/>
          <w:sz w:val="32"/>
          <w:szCs w:val="32"/>
        </w:rPr>
      </w:pPr>
      <w:r>
        <w:rPr>
          <w:rFonts w:hint="eastAsia" w:ascii="楷体_GB2312" w:hAnsi="楷体_GB2312" w:eastAsia="楷体_GB2312" w:cs="楷体_GB2312"/>
          <w:b w:val="0"/>
          <w:bCs w:val="0"/>
          <w:color w:val="000000"/>
          <w:sz w:val="32"/>
          <w:szCs w:val="32"/>
        </w:rPr>
        <w:t>外语教学部</w:t>
      </w:r>
    </w:p>
    <w:p>
      <w:pPr>
        <w:keepNext w:val="0"/>
        <w:keepLines w:val="0"/>
        <w:pageBreakBefore w:val="0"/>
        <w:kinsoku/>
        <w:wordWrap/>
        <w:overflowPunct/>
        <w:topLinePunct w:val="0"/>
        <w:bidi w:val="0"/>
        <w:snapToGrid w:val="0"/>
        <w:spacing w:line="560" w:lineRule="exact"/>
        <w:ind w:left="0" w:leftChars="0" w:right="0" w:rightChars="0"/>
        <w:jc w:val="center"/>
        <w:textAlignment w:val="auto"/>
        <w:outlineLvl w:val="9"/>
        <w:rPr>
          <w:rFonts w:hint="eastAsia" w:ascii="仿宋_GB2312" w:hAnsi="仿宋_GB2312" w:eastAsia="仿宋_GB2312" w:cs="仿宋_GB2312"/>
          <w:b w:val="0"/>
          <w:bCs w:val="0"/>
          <w:color w:val="000000"/>
          <w:sz w:val="32"/>
          <w:szCs w:val="32"/>
        </w:rPr>
      </w:pPr>
    </w:p>
    <w:p>
      <w:pPr>
        <w:keepNext w:val="0"/>
        <w:keepLines w:val="0"/>
        <w:pageBreakBefore w:val="0"/>
        <w:kinsoku/>
        <w:wordWrap/>
        <w:overflowPunct/>
        <w:topLinePunct w:val="0"/>
        <w:autoSpaceDE w:val="0"/>
        <w:autoSpaceDN w:val="0"/>
        <w:bidi w:val="0"/>
        <w:adjustRightInd w:val="0"/>
        <w:snapToGrid w:val="0"/>
        <w:spacing w:line="560" w:lineRule="exact"/>
        <w:ind w:left="0" w:leftChars="0" w:right="0" w:rightChars="0" w:firstLine="640" w:firstLineChars="200"/>
        <w:jc w:val="left"/>
        <w:textAlignment w:val="auto"/>
        <w:outlineLvl w:val="9"/>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2017</w:t>
      </w:r>
      <w:r>
        <w:rPr>
          <w:rFonts w:hint="eastAsia" w:ascii="仿宋_GB2312" w:hAnsi="仿宋_GB2312" w:eastAsia="仿宋_GB2312" w:cs="仿宋_GB2312"/>
          <w:b w:val="0"/>
          <w:bCs w:val="0"/>
          <w:color w:val="000000"/>
          <w:sz w:val="32"/>
          <w:szCs w:val="32"/>
        </w:rPr>
        <w:t>年</w:t>
      </w:r>
      <w:r>
        <w:rPr>
          <w:rFonts w:hint="eastAsia" w:ascii="仿宋_GB2312" w:hAnsi="仿宋_GB2312" w:eastAsia="仿宋_GB2312" w:cs="仿宋_GB2312"/>
          <w:b w:val="0"/>
          <w:bCs w:val="0"/>
          <w:color w:val="000000"/>
          <w:sz w:val="32"/>
          <w:szCs w:val="32"/>
        </w:rPr>
        <w:t>,</w:t>
      </w:r>
      <w:r>
        <w:rPr>
          <w:rFonts w:hint="eastAsia" w:ascii="仿宋_GB2312" w:hAnsi="仿宋_GB2312" w:eastAsia="仿宋_GB2312" w:cs="仿宋_GB2312"/>
          <w:b w:val="0"/>
          <w:bCs w:val="0"/>
          <w:color w:val="000000"/>
          <w:sz w:val="32"/>
          <w:szCs w:val="32"/>
        </w:rPr>
        <w:t>外语教学部领导班子在校党委的正确领导下，认真开展“两学一做”</w:t>
      </w:r>
      <w:r>
        <w:rPr>
          <w:rFonts w:hint="eastAsia" w:ascii="仿宋_GB2312" w:hAnsi="仿宋_GB2312" w:eastAsia="仿宋_GB2312" w:cs="仿宋_GB2312"/>
          <w:b w:val="0"/>
          <w:bCs w:val="0"/>
          <w:color w:val="000000"/>
          <w:sz w:val="32"/>
          <w:szCs w:val="32"/>
        </w:rPr>
        <w:t>专题教育</w:t>
      </w:r>
      <w:r>
        <w:rPr>
          <w:rFonts w:hint="eastAsia" w:ascii="仿宋_GB2312" w:hAnsi="仿宋_GB2312" w:eastAsia="仿宋_GB2312" w:cs="仿宋_GB2312"/>
          <w:b w:val="0"/>
          <w:bCs w:val="0"/>
          <w:color w:val="000000"/>
          <w:sz w:val="32"/>
          <w:szCs w:val="32"/>
        </w:rPr>
        <w:t>和“不作为、乱作为、慢作为”专项清理活动，带领全体教工认真学习十九大报告精神及习近平新时代中国特色社会主义思想，积极配合学校“双一流”建设，以教学改革为中心，以教学理念革新，狠抓教学、科研、语言实验室建设和师资进修等工作，积极探索、团结协作、真抓实干，各项工作取得一定成绩。</w:t>
      </w:r>
    </w:p>
    <w:p>
      <w:pPr>
        <w:keepNext w:val="0"/>
        <w:keepLines w:val="0"/>
        <w:pageBreakBefore w:val="0"/>
        <w:kinsoku/>
        <w:wordWrap/>
        <w:overflowPunct/>
        <w:topLinePunct w:val="0"/>
        <w:bidi w:val="0"/>
        <w:snapToGrid w:val="0"/>
        <w:spacing w:line="560" w:lineRule="exact"/>
        <w:ind w:left="0" w:leftChars="0" w:right="0" w:rightChars="0" w:firstLine="570"/>
        <w:textAlignment w:val="auto"/>
        <w:outlineLvl w:val="9"/>
        <w:rPr>
          <w:rFonts w:hint="eastAsia" w:ascii="仿宋_GB2312" w:hAnsi="仿宋_GB2312" w:eastAsia="仿宋_GB2312" w:cs="仿宋_GB2312"/>
          <w:b w:val="0"/>
          <w:bCs w:val="0"/>
          <w:sz w:val="32"/>
          <w:szCs w:val="32"/>
        </w:rPr>
      </w:pPr>
      <w:r>
        <w:rPr>
          <w:rFonts w:hint="eastAsia" w:ascii="黑体" w:hAnsi="黑体" w:eastAsia="黑体" w:cs="黑体"/>
          <w:b w:val="0"/>
          <w:bCs w:val="0"/>
          <w:sz w:val="32"/>
          <w:szCs w:val="32"/>
        </w:rPr>
        <w:t>一、党建工作</w:t>
      </w:r>
    </w:p>
    <w:p>
      <w:pPr>
        <w:keepNext w:val="0"/>
        <w:keepLines w:val="0"/>
        <w:pageBreakBefore w:val="0"/>
        <w:kinsoku/>
        <w:wordWrap/>
        <w:overflowPunct/>
        <w:topLinePunct w:val="0"/>
        <w:bidi w:val="0"/>
        <w:snapToGrid w:val="0"/>
        <w:spacing w:line="560" w:lineRule="exact"/>
        <w:ind w:right="0" w:rightChars="0" w:firstLine="640" w:firstLineChars="200"/>
        <w:jc w:val="left"/>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我们的高校是党领导下的高校，是中国特色社会主义高校。为使老师成为先进思想文化的传播者、党执政的坚定支持者，我们坚持做到以下几个方面。 </w:t>
      </w:r>
    </w:p>
    <w:p>
      <w:pPr>
        <w:keepNext w:val="0"/>
        <w:keepLines w:val="0"/>
        <w:pageBreakBefore w:val="0"/>
        <w:kinsoku/>
        <w:wordWrap/>
        <w:overflowPunct/>
        <w:topLinePunct w:val="0"/>
        <w:bidi w:val="0"/>
        <w:snapToGrid w:val="0"/>
        <w:spacing w:line="560" w:lineRule="exact"/>
        <w:ind w:right="0" w:rightChars="0" w:firstLine="640" w:firstLineChars="200"/>
        <w:jc w:val="left"/>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第一，加强政治理论学习</w:t>
      </w: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rPr>
        <w:t xml:space="preserve"> </w:t>
      </w:r>
      <w:r>
        <w:rPr>
          <w:rFonts w:hint="eastAsia" w:ascii="仿宋_GB2312" w:hAnsi="仿宋_GB2312" w:eastAsia="仿宋_GB2312" w:cs="仿宋_GB2312"/>
          <w:b w:val="0"/>
          <w:bCs w:val="0"/>
          <w:sz w:val="32"/>
          <w:szCs w:val="32"/>
        </w:rPr>
        <w:t xml:space="preserve">外语部班子成员始终将政治理论学习作为重要任务。年初制定学习计划，明确学习目标，认真学习党的各项方针政策，学习《准则》和《条例》等等，守住领导干部为人做事的基准和底线。十九大后，认真学习十九大报告精神及习近平新时代中国特色社会主义思想等一系列重要讲话。 </w:t>
      </w:r>
    </w:p>
    <w:p>
      <w:pPr>
        <w:pStyle w:val="4"/>
        <w:keepNext w:val="0"/>
        <w:keepLines w:val="0"/>
        <w:pageBreakBefore w:val="0"/>
        <w:kinsoku/>
        <w:wordWrap/>
        <w:overflowPunct/>
        <w:topLinePunct w:val="0"/>
        <w:bidi w:val="0"/>
        <w:snapToGrid w:val="0"/>
        <w:spacing w:before="0" w:beforeAutospacing="0" w:after="0" w:afterAutospacing="0" w:line="560" w:lineRule="exact"/>
        <w:ind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kern w:val="2"/>
          <w:sz w:val="32"/>
          <w:szCs w:val="32"/>
        </w:rPr>
        <w:t>第二，筑牢思想阵地，加强意识形态教育</w:t>
      </w: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rPr>
        <w:t>教学部班子高度重视意识形态教育，</w:t>
      </w:r>
      <w:r>
        <w:rPr>
          <w:rFonts w:hint="eastAsia" w:ascii="仿宋_GB2312" w:hAnsi="仿宋_GB2312" w:eastAsia="仿宋_GB2312" w:cs="仿宋_GB2312"/>
          <w:b w:val="0"/>
          <w:bCs w:val="0"/>
          <w:sz w:val="32"/>
          <w:szCs w:val="32"/>
        </w:rPr>
        <w:t>紧紧围绕立德树人根本任务，牢牢把握正确的政治方向。利用返校日，召开部大会，</w:t>
      </w:r>
      <w:r>
        <w:rPr>
          <w:rFonts w:hint="eastAsia" w:ascii="仿宋_GB2312" w:hAnsi="仿宋_GB2312" w:eastAsia="仿宋_GB2312" w:cs="仿宋_GB2312"/>
          <w:b w:val="0"/>
          <w:bCs w:val="0"/>
          <w:sz w:val="32"/>
          <w:szCs w:val="32"/>
        </w:rPr>
        <w:t>宣传党的路线、方针、政策，教育</w:t>
      </w:r>
      <w:r>
        <w:rPr>
          <w:rFonts w:hint="eastAsia" w:ascii="仿宋_GB2312" w:hAnsi="仿宋_GB2312" w:eastAsia="仿宋_GB2312" w:cs="仿宋_GB2312"/>
          <w:b w:val="0"/>
          <w:bCs w:val="0"/>
          <w:sz w:val="32"/>
          <w:szCs w:val="32"/>
        </w:rPr>
        <w:t>引导广大教师坚定中国特色社会主义道路自信、理论自信、制度自信、文化自信。</w:t>
      </w:r>
    </w:p>
    <w:p>
      <w:pPr>
        <w:keepNext w:val="0"/>
        <w:keepLines w:val="0"/>
        <w:pageBreakBefore w:val="0"/>
        <w:widowControl/>
        <w:kinsoku/>
        <w:wordWrap/>
        <w:overflowPunct/>
        <w:topLinePunct w:val="0"/>
        <w:bidi w:val="0"/>
        <w:snapToGrid w:val="0"/>
        <w:spacing w:line="560" w:lineRule="exact"/>
        <w:ind w:left="0" w:leftChars="0" w:right="0" w:rightChars="0" w:firstLine="640" w:firstLineChars="200"/>
        <w:jc w:val="left"/>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第三，建章立制，规范运行机制</w:t>
      </w: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rPr>
        <w:t>教学部班子成员以“两学一做”专题教育为契机，改进工作方式，强化规则意识，坚持照章办事；进一步完善部门机构运行机制，规范会议决策制度，严格落实“三重一大”制度。每周定期召开党政联席会议，研究决定重要事项，布置一周工作。</w:t>
      </w:r>
    </w:p>
    <w:p>
      <w:pPr>
        <w:keepNext w:val="0"/>
        <w:keepLines w:val="0"/>
        <w:pageBreakBefore w:val="0"/>
        <w:kinsoku/>
        <w:wordWrap/>
        <w:overflowPunct/>
        <w:topLinePunct w:val="0"/>
        <w:bidi w:val="0"/>
        <w:snapToGrid w:val="0"/>
        <w:spacing w:line="560" w:lineRule="exact"/>
        <w:ind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第四，关心会员疾苦，维护会员利益</w:t>
      </w:r>
      <w:r>
        <w:rPr>
          <w:rFonts w:hint="eastAsia" w:ascii="仿宋_GB2312" w:hAnsi="仿宋_GB2312" w:eastAsia="仿宋_GB2312" w:cs="仿宋_GB2312"/>
          <w:b w:val="0"/>
          <w:bCs w:val="0"/>
          <w:kern w:val="0"/>
          <w:sz w:val="32"/>
          <w:szCs w:val="32"/>
        </w:rPr>
        <w:t>。</w:t>
      </w:r>
      <w:r>
        <w:rPr>
          <w:rFonts w:hint="eastAsia" w:ascii="仿宋_GB2312" w:hAnsi="仿宋_GB2312" w:eastAsia="仿宋_GB2312" w:cs="仿宋_GB2312"/>
          <w:b w:val="0"/>
          <w:bCs w:val="0"/>
          <w:sz w:val="32"/>
          <w:szCs w:val="32"/>
        </w:rPr>
        <w:t>每当教职工遇到困难，部领导和工会都会在第一时间给予关心、支持和帮助。充分发挥工会桥梁纽带作用，围绕教职工最现实、最关心、最直接的利益，扎扎实实为职工做好事、办实事，为职工排忧解难。</w:t>
      </w:r>
    </w:p>
    <w:p>
      <w:pPr>
        <w:keepNext w:val="0"/>
        <w:keepLines w:val="0"/>
        <w:pageBreakBefore w:val="0"/>
        <w:kinsoku/>
        <w:wordWrap/>
        <w:overflowPunct/>
        <w:topLinePunct w:val="0"/>
        <w:bidi w:val="0"/>
        <w:snapToGrid w:val="0"/>
        <w:spacing w:line="560" w:lineRule="exact"/>
        <w:ind w:left="0" w:leftChars="0" w:right="0" w:rightChars="0" w:firstLine="570"/>
        <w:textAlignment w:val="auto"/>
        <w:outlineLvl w:val="9"/>
        <w:rPr>
          <w:rFonts w:hint="eastAsia" w:ascii="仿宋_GB2312" w:hAnsi="仿宋_GB2312" w:eastAsia="仿宋_GB2312" w:cs="仿宋_GB2312"/>
          <w:b w:val="0"/>
          <w:bCs w:val="0"/>
          <w:sz w:val="32"/>
          <w:szCs w:val="32"/>
        </w:rPr>
      </w:pPr>
      <w:r>
        <w:rPr>
          <w:rFonts w:hint="eastAsia" w:ascii="黑体" w:hAnsi="黑体" w:eastAsia="黑体" w:cs="黑体"/>
          <w:b w:val="0"/>
          <w:bCs w:val="0"/>
          <w:sz w:val="32"/>
          <w:szCs w:val="32"/>
        </w:rPr>
        <w:t>二、团结协作 提升教学改革内涵</w:t>
      </w:r>
    </w:p>
    <w:p>
      <w:pPr>
        <w:keepNext w:val="0"/>
        <w:keepLines w:val="0"/>
        <w:pageBreakBefore w:val="0"/>
        <w:kinsoku/>
        <w:wordWrap/>
        <w:overflowPunct/>
        <w:topLinePunct w:val="0"/>
        <w:bidi w:val="0"/>
        <w:snapToGrid w:val="0"/>
        <w:spacing w:line="560" w:lineRule="exact"/>
        <w:ind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领导全体教职工克服种种困难，继续发扬舍我精神，开拓创新、勇于担当，，在教育教学理论体系构建、教学成绩、</w:t>
      </w:r>
      <w:r>
        <w:rPr>
          <w:rFonts w:hint="eastAsia" w:ascii="仿宋_GB2312" w:hAnsi="仿宋_GB2312" w:eastAsia="仿宋_GB2312" w:cs="仿宋_GB2312"/>
          <w:b w:val="0"/>
          <w:bCs w:val="0"/>
          <w:sz w:val="32"/>
          <w:szCs w:val="32"/>
        </w:rPr>
        <w:t>课程教学团队、教学科研</w:t>
      </w:r>
      <w:r>
        <w:rPr>
          <w:rFonts w:hint="eastAsia" w:ascii="仿宋_GB2312" w:hAnsi="仿宋_GB2312" w:eastAsia="仿宋_GB2312" w:cs="仿宋_GB2312"/>
          <w:b w:val="0"/>
          <w:bCs w:val="0"/>
          <w:sz w:val="32"/>
          <w:szCs w:val="32"/>
        </w:rPr>
        <w:t>等方面深化改革，提升改革内涵。</w:t>
      </w:r>
    </w:p>
    <w:p>
      <w:pPr>
        <w:keepNext w:val="0"/>
        <w:keepLines w:val="0"/>
        <w:pageBreakBefore w:val="0"/>
        <w:kinsoku/>
        <w:wordWrap/>
        <w:overflowPunct/>
        <w:topLinePunct w:val="0"/>
        <w:bidi w:val="0"/>
        <w:snapToGrid w:val="0"/>
        <w:spacing w:line="560" w:lineRule="exact"/>
        <w:ind w:right="0" w:rightChars="0" w:firstLine="640" w:firstLineChars="200"/>
        <w:jc w:val="left"/>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第一，构建教育教学理论体系</w:t>
      </w:r>
      <w:r>
        <w:rPr>
          <w:rFonts w:hint="eastAsia" w:ascii="仿宋_GB2312" w:hAnsi="仿宋_GB2312" w:eastAsia="仿宋_GB2312" w:cs="仿宋_GB2312"/>
          <w:b w:val="0"/>
          <w:bCs w:val="0"/>
          <w:sz w:val="32"/>
          <w:szCs w:val="32"/>
        </w:rPr>
        <w:t>。基于教学改革实践，构建</w:t>
      </w:r>
      <w:r>
        <w:rPr>
          <w:rFonts w:hint="eastAsia" w:ascii="仿宋_GB2312" w:hAnsi="仿宋_GB2312" w:eastAsia="仿宋_GB2312" w:cs="仿宋_GB2312"/>
          <w:b w:val="0"/>
          <w:bCs w:val="0"/>
          <w:sz w:val="32"/>
          <w:szCs w:val="32"/>
        </w:rPr>
        <w:t>iACT</w:t>
      </w:r>
      <w:r>
        <w:rPr>
          <w:rFonts w:hint="eastAsia" w:ascii="仿宋_GB2312" w:hAnsi="仿宋_GB2312" w:eastAsia="仿宋_GB2312" w:cs="仿宋_GB2312"/>
          <w:b w:val="0"/>
          <w:bCs w:val="0"/>
          <w:sz w:val="32"/>
          <w:szCs w:val="32"/>
        </w:rPr>
        <w:t>导向的教育教学理论体系，厘清理论支撑、内外驱动、培养目标与教学实践之间的逻辑关系，全面梳理教学改革系统工程，为我校教学改革内涵提升做理论分析。</w:t>
      </w:r>
    </w:p>
    <w:p>
      <w:pPr>
        <w:keepNext w:val="0"/>
        <w:keepLines w:val="0"/>
        <w:pageBreakBefore w:val="0"/>
        <w:kinsoku/>
        <w:wordWrap/>
        <w:overflowPunct/>
        <w:topLinePunct w:val="0"/>
        <w:bidi w:val="0"/>
        <w:snapToGrid w:val="0"/>
        <w:spacing w:line="560" w:lineRule="exact"/>
        <w:ind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第二，教学成绩突出</w:t>
      </w: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rPr>
        <w:t>1</w:t>
      </w:r>
      <w:r>
        <w:rPr>
          <w:rFonts w:hint="eastAsia" w:ascii="仿宋_GB2312" w:hAnsi="仿宋_GB2312" w:eastAsia="仿宋_GB2312" w:cs="仿宋_GB2312"/>
          <w:b w:val="0"/>
          <w:bCs w:val="0"/>
          <w:sz w:val="32"/>
          <w:szCs w:val="32"/>
        </w:rPr>
        <w:t>）在岗教师</w:t>
      </w:r>
      <w:r>
        <w:rPr>
          <w:rFonts w:hint="eastAsia" w:ascii="仿宋_GB2312" w:hAnsi="仿宋_GB2312" w:eastAsia="仿宋_GB2312" w:cs="仿宋_GB2312"/>
          <w:b w:val="0"/>
          <w:bCs w:val="0"/>
          <w:sz w:val="32"/>
          <w:szCs w:val="32"/>
        </w:rPr>
        <w:t>75</w:t>
      </w:r>
      <w:r>
        <w:rPr>
          <w:rFonts w:hint="eastAsia" w:ascii="仿宋_GB2312" w:hAnsi="仿宋_GB2312" w:eastAsia="仿宋_GB2312" w:cs="仿宋_GB2312"/>
          <w:b w:val="0"/>
          <w:bCs w:val="0"/>
          <w:sz w:val="32"/>
          <w:szCs w:val="32"/>
        </w:rPr>
        <w:t>人完成</w:t>
      </w:r>
      <w:r>
        <w:rPr>
          <w:rFonts w:hint="eastAsia" w:ascii="仿宋_GB2312" w:hAnsi="仿宋_GB2312" w:eastAsia="仿宋_GB2312" w:cs="仿宋_GB2312"/>
          <w:b w:val="0"/>
          <w:bCs w:val="0"/>
          <w:sz w:val="32"/>
          <w:szCs w:val="32"/>
        </w:rPr>
        <w:t>647</w:t>
      </w:r>
      <w:r>
        <w:rPr>
          <w:rFonts w:hint="eastAsia" w:ascii="仿宋_GB2312" w:hAnsi="仿宋_GB2312" w:eastAsia="仿宋_GB2312" w:cs="仿宋_GB2312"/>
          <w:b w:val="0"/>
          <w:bCs w:val="0"/>
          <w:sz w:val="32"/>
          <w:szCs w:val="32"/>
        </w:rPr>
        <w:t>个本科自然班和</w:t>
      </w:r>
      <w:r>
        <w:rPr>
          <w:rFonts w:hint="eastAsia" w:ascii="仿宋_GB2312" w:hAnsi="仿宋_GB2312" w:eastAsia="仿宋_GB2312" w:cs="仿宋_GB2312"/>
          <w:b w:val="0"/>
          <w:bCs w:val="0"/>
          <w:sz w:val="32"/>
          <w:szCs w:val="32"/>
        </w:rPr>
        <w:t>18</w:t>
      </w:r>
      <w:r>
        <w:rPr>
          <w:rFonts w:hint="eastAsia" w:ascii="仿宋_GB2312" w:hAnsi="仿宋_GB2312" w:eastAsia="仿宋_GB2312" w:cs="仿宋_GB2312"/>
          <w:b w:val="0"/>
          <w:bCs w:val="0"/>
          <w:sz w:val="32"/>
          <w:szCs w:val="32"/>
        </w:rPr>
        <w:t>个研究生班的教学任务，涉及本科通用学术和文化类英语、本科通用基础英语、中外合作和研究生学术类英语等多种课程和教学内容，全体教师继续发扬任劳任怨、勇挑重担，圆满完成各项教学任务。（2）大学生英语竞赛省决赛，我校获</w:t>
      </w:r>
      <w:r>
        <w:rPr>
          <w:rFonts w:hint="eastAsia" w:ascii="仿宋_GB2312" w:hAnsi="仿宋_GB2312" w:eastAsia="仿宋_GB2312" w:cs="仿宋_GB2312"/>
          <w:b w:val="0"/>
          <w:bCs w:val="0"/>
          <w:sz w:val="32"/>
          <w:szCs w:val="32"/>
        </w:rPr>
        <w:t>4</w:t>
      </w:r>
      <w:r>
        <w:rPr>
          <w:rFonts w:hint="eastAsia" w:ascii="仿宋_GB2312" w:hAnsi="仿宋_GB2312" w:eastAsia="仿宋_GB2312" w:cs="仿宋_GB2312"/>
          <w:b w:val="0"/>
          <w:bCs w:val="0"/>
          <w:sz w:val="32"/>
          <w:szCs w:val="32"/>
        </w:rPr>
        <w:t>个一等奖；省高校英语写作大赛获二等奖、三等奖各一名；省高校英语阅读比赛获</w:t>
      </w:r>
      <w:r>
        <w:rPr>
          <w:rFonts w:hint="eastAsia" w:ascii="仿宋_GB2312" w:hAnsi="仿宋_GB2312" w:eastAsia="仿宋_GB2312" w:cs="仿宋_GB2312"/>
          <w:b w:val="0"/>
          <w:bCs w:val="0"/>
          <w:sz w:val="32"/>
          <w:szCs w:val="32"/>
        </w:rPr>
        <w:t>2</w:t>
      </w:r>
      <w:r>
        <w:rPr>
          <w:rFonts w:hint="eastAsia" w:ascii="仿宋_GB2312" w:hAnsi="仿宋_GB2312" w:eastAsia="仿宋_GB2312" w:cs="仿宋_GB2312"/>
          <w:b w:val="0"/>
          <w:bCs w:val="0"/>
          <w:sz w:val="32"/>
          <w:szCs w:val="32"/>
        </w:rPr>
        <w:t>个二等奖；省高校“世纪之星”英语演讲大赛分获省赛二等奖和三等奖，青年教师组二等奖。（3）我校师生在参加的各类赛事中都取得令人满意成绩。河北省“外教社杯”英语教学大赛、河北经贸大学信息化大赛、河北经贸大学青年教师讲课比赛中都获得较好名次。</w:t>
      </w:r>
      <w:r>
        <w:rPr>
          <w:rFonts w:hint="eastAsia" w:ascii="仿宋_GB2312" w:hAnsi="仿宋_GB2312" w:eastAsia="仿宋_GB2312" w:cs="仿宋_GB2312"/>
          <w:b w:val="0"/>
          <w:bCs w:val="0"/>
          <w:sz w:val="32"/>
          <w:szCs w:val="32"/>
        </w:rPr>
        <w:t>2017</w:t>
      </w:r>
      <w:r>
        <w:rPr>
          <w:rFonts w:hint="eastAsia" w:ascii="仿宋_GB2312" w:hAnsi="仿宋_GB2312" w:eastAsia="仿宋_GB2312" w:cs="仿宋_GB2312"/>
          <w:b w:val="0"/>
          <w:bCs w:val="0"/>
          <w:sz w:val="32"/>
          <w:szCs w:val="32"/>
        </w:rPr>
        <w:t>年我部</w:t>
      </w:r>
      <w:r>
        <w:rPr>
          <w:rFonts w:hint="eastAsia" w:ascii="仿宋_GB2312" w:hAnsi="仿宋_GB2312" w:eastAsia="仿宋_GB2312" w:cs="仿宋_GB2312"/>
          <w:b w:val="0"/>
          <w:bCs w:val="0"/>
          <w:sz w:val="32"/>
          <w:szCs w:val="32"/>
        </w:rPr>
        <w:t>14</w:t>
      </w:r>
      <w:r>
        <w:rPr>
          <w:rFonts w:hint="eastAsia" w:ascii="仿宋_GB2312" w:hAnsi="仿宋_GB2312" w:eastAsia="仿宋_GB2312" w:cs="仿宋_GB2312"/>
          <w:b w:val="0"/>
          <w:bCs w:val="0"/>
          <w:sz w:val="32"/>
          <w:szCs w:val="32"/>
        </w:rPr>
        <w:t>名教师教学质量考核优秀，</w:t>
      </w:r>
      <w:r>
        <w:rPr>
          <w:rFonts w:hint="eastAsia" w:ascii="仿宋_GB2312" w:hAnsi="仿宋_GB2312" w:eastAsia="仿宋_GB2312" w:cs="仿宋_GB2312"/>
          <w:b w:val="0"/>
          <w:bCs w:val="0"/>
          <w:sz w:val="32"/>
          <w:szCs w:val="32"/>
        </w:rPr>
        <w:t xml:space="preserve"> 5</w:t>
      </w:r>
      <w:r>
        <w:rPr>
          <w:rFonts w:hint="eastAsia" w:ascii="仿宋_GB2312" w:hAnsi="仿宋_GB2312" w:eastAsia="仿宋_GB2312" w:cs="仿宋_GB2312"/>
          <w:b w:val="0"/>
          <w:bCs w:val="0"/>
          <w:sz w:val="32"/>
          <w:szCs w:val="32"/>
        </w:rPr>
        <w:t xml:space="preserve">位教师获“教学优秀奖”。 </w:t>
      </w:r>
    </w:p>
    <w:p>
      <w:pPr>
        <w:keepNext w:val="0"/>
        <w:keepLines w:val="0"/>
        <w:pageBreakBefore w:val="0"/>
        <w:kinsoku/>
        <w:wordWrap/>
        <w:overflowPunct/>
        <w:topLinePunct w:val="0"/>
        <w:bidi w:val="0"/>
        <w:snapToGrid w:val="0"/>
        <w:spacing w:line="560" w:lineRule="exact"/>
        <w:ind w:left="0" w:leftChars="0" w:right="0" w:rightChars="0" w:firstLine="627" w:firstLineChars="196"/>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第三，课程教学团队建设成果显著</w:t>
      </w: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rPr>
        <w:t>2017</w:t>
      </w:r>
      <w:r>
        <w:rPr>
          <w:rFonts w:hint="eastAsia" w:ascii="仿宋_GB2312" w:hAnsi="仿宋_GB2312" w:eastAsia="仿宋_GB2312" w:cs="仿宋_GB2312"/>
          <w:b w:val="0"/>
          <w:bCs w:val="0"/>
          <w:sz w:val="32"/>
          <w:szCs w:val="32"/>
        </w:rPr>
        <w:t>年，各课程组和教学团队在课程设置、教学模式和评价方式等方面日臻完善，利用考核评估的机会，以评促建，完善教学大纲、教案和试卷的教学档案；适应了课程教学内容的多样化，其中本科学术英语团队完善了学术英语写作、口语、阅读、文化等内容；研究生教学团队承担了综合、社科、管理和理工等多门类学术英语的教学。各团队投入了极大精力，充分发挥团队智慧力量，形成常规化的集体备课模式。</w:t>
      </w:r>
      <w:r>
        <w:rPr>
          <w:rFonts w:hint="eastAsia" w:ascii="仿宋_GB2312" w:hAnsi="仿宋_GB2312" w:eastAsia="仿宋_GB2312" w:cs="仿宋_GB2312"/>
          <w:b w:val="0"/>
          <w:bCs w:val="0"/>
          <w:sz w:val="32"/>
          <w:szCs w:val="32"/>
        </w:rPr>
        <w:t xml:space="preserve">    </w:t>
      </w:r>
    </w:p>
    <w:p>
      <w:pPr>
        <w:keepNext w:val="0"/>
        <w:keepLines w:val="0"/>
        <w:pageBreakBefore w:val="0"/>
        <w:kinsoku/>
        <w:wordWrap/>
        <w:overflowPunct/>
        <w:topLinePunct w:val="0"/>
        <w:bidi w:val="0"/>
        <w:snapToGrid w:val="0"/>
        <w:spacing w:line="560" w:lineRule="exact"/>
        <w:ind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第四，教学科研活动日渐活跃。</w:t>
      </w:r>
      <w:r>
        <w:rPr>
          <w:rFonts w:hint="eastAsia" w:ascii="仿宋_GB2312" w:hAnsi="仿宋_GB2312" w:eastAsia="仿宋_GB2312" w:cs="仿宋_GB2312"/>
          <w:b w:val="0"/>
          <w:bCs w:val="0"/>
          <w:sz w:val="32"/>
          <w:szCs w:val="32"/>
        </w:rPr>
        <w:t>2017</w:t>
      </w:r>
      <w:r>
        <w:rPr>
          <w:rFonts w:hint="eastAsia" w:ascii="仿宋_GB2312" w:hAnsi="仿宋_GB2312" w:eastAsia="仿宋_GB2312" w:cs="仿宋_GB2312"/>
          <w:b w:val="0"/>
          <w:bCs w:val="0"/>
          <w:sz w:val="32"/>
          <w:szCs w:val="32"/>
        </w:rPr>
        <w:t>年，我部“语言学术沙龙”继续发挥促学、促研作用，兼顾教学理论、教学模式、研究设计等内容。各教研室和课程组定期开展教学讨论活动；拓展课程组利用网络平台进行随时随地的教学交流，课程组之间相互分享教学经验，形成了浓厚的教学氛围。</w:t>
      </w:r>
      <w:r>
        <w:rPr>
          <w:rFonts w:hint="eastAsia" w:ascii="仿宋_GB2312" w:hAnsi="仿宋_GB2312" w:eastAsia="仿宋_GB2312" w:cs="仿宋_GB2312"/>
          <w:b w:val="0"/>
          <w:bCs w:val="0"/>
          <w:sz w:val="32"/>
          <w:szCs w:val="32"/>
        </w:rPr>
        <w:t>2017</w:t>
      </w:r>
      <w:r>
        <w:rPr>
          <w:rFonts w:hint="eastAsia" w:ascii="仿宋_GB2312" w:hAnsi="仿宋_GB2312" w:eastAsia="仿宋_GB2312" w:cs="仿宋_GB2312"/>
          <w:b w:val="0"/>
          <w:bCs w:val="0"/>
          <w:sz w:val="32"/>
          <w:szCs w:val="32"/>
        </w:rPr>
        <w:t>年，我部三位老师获得校级教学科研项目资助。</w:t>
      </w:r>
    </w:p>
    <w:p>
      <w:pPr>
        <w:keepNext w:val="0"/>
        <w:keepLines w:val="0"/>
        <w:pageBreakBefore w:val="0"/>
        <w:kinsoku/>
        <w:wordWrap/>
        <w:overflowPunct/>
        <w:topLinePunct w:val="0"/>
        <w:bidi w:val="0"/>
        <w:snapToGrid w:val="0"/>
        <w:spacing w:line="560" w:lineRule="exact"/>
        <w:ind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黑体" w:hAnsi="黑体" w:eastAsia="黑体" w:cs="黑体"/>
          <w:b w:val="0"/>
          <w:bCs w:val="0"/>
          <w:sz w:val="32"/>
          <w:szCs w:val="32"/>
        </w:rPr>
        <w:t>三、坚持不懈 扎实推进科研工作</w:t>
      </w:r>
    </w:p>
    <w:p>
      <w:pPr>
        <w:keepNext w:val="0"/>
        <w:keepLines w:val="0"/>
        <w:pageBreakBefore w:val="0"/>
        <w:kinsoku/>
        <w:wordWrap/>
        <w:overflowPunct/>
        <w:topLinePunct w:val="0"/>
        <w:bidi w:val="0"/>
        <w:snapToGrid w:val="0"/>
        <w:spacing w:line="560" w:lineRule="exact"/>
        <w:ind w:left="0" w:leftChars="0" w:right="0" w:rightChars="0" w:firstLine="640" w:firstLineChars="200"/>
        <w:jc w:val="left"/>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针对教学部科研工作的不足，领导班子创新工作思路，探索有效的工作途径，经过扎扎实实、勤奋学习、开放交流等，在基于教学改革，尤其学术英语课程建设，在申报项目与成果发表等方面取得新成绩。</w:t>
      </w:r>
      <w:r>
        <w:rPr>
          <w:rFonts w:hint="eastAsia" w:ascii="仿宋_GB2312" w:hAnsi="仿宋_GB2312" w:eastAsia="仿宋_GB2312" w:cs="仿宋_GB2312"/>
          <w:b w:val="0"/>
          <w:bCs w:val="0"/>
          <w:sz w:val="32"/>
          <w:szCs w:val="32"/>
        </w:rPr>
        <w:t>省社科基金项目</w:t>
      </w:r>
      <w:r>
        <w:rPr>
          <w:rFonts w:hint="eastAsia" w:ascii="仿宋_GB2312" w:hAnsi="仿宋_GB2312" w:eastAsia="仿宋_GB2312" w:cs="仿宋_GB2312"/>
          <w:b w:val="0"/>
          <w:bCs w:val="0"/>
          <w:sz w:val="32"/>
          <w:szCs w:val="32"/>
        </w:rPr>
        <w:t>2</w:t>
      </w:r>
      <w:r>
        <w:rPr>
          <w:rFonts w:hint="eastAsia" w:ascii="仿宋_GB2312" w:hAnsi="仿宋_GB2312" w:eastAsia="仿宋_GB2312" w:cs="仿宋_GB2312"/>
          <w:b w:val="0"/>
          <w:bCs w:val="0"/>
          <w:sz w:val="32"/>
          <w:szCs w:val="32"/>
        </w:rPr>
        <w:t>项，学校教研项目</w:t>
      </w:r>
      <w:r>
        <w:rPr>
          <w:rFonts w:hint="eastAsia" w:ascii="仿宋_GB2312" w:hAnsi="仿宋_GB2312" w:eastAsia="仿宋_GB2312" w:cs="仿宋_GB2312"/>
          <w:b w:val="0"/>
          <w:bCs w:val="0"/>
          <w:sz w:val="32"/>
          <w:szCs w:val="32"/>
        </w:rPr>
        <w:t>4</w:t>
      </w:r>
      <w:r>
        <w:rPr>
          <w:rFonts w:hint="eastAsia" w:ascii="仿宋_GB2312" w:hAnsi="仿宋_GB2312" w:eastAsia="仿宋_GB2312" w:cs="仿宋_GB2312"/>
          <w:b w:val="0"/>
          <w:bCs w:val="0"/>
          <w:sz w:val="32"/>
          <w:szCs w:val="32"/>
        </w:rPr>
        <w:t>项，</w:t>
      </w:r>
      <w:r>
        <w:rPr>
          <w:rFonts w:hint="eastAsia" w:ascii="仿宋_GB2312" w:hAnsi="仿宋_GB2312" w:eastAsia="仿宋_GB2312" w:cs="仿宋_GB2312"/>
          <w:b w:val="0"/>
          <w:bCs w:val="0"/>
          <w:sz w:val="32"/>
          <w:szCs w:val="32"/>
        </w:rPr>
        <w:t>省高等教育学</w:t>
      </w:r>
      <w:r>
        <w:rPr>
          <w:rFonts w:hint="eastAsia" w:ascii="仿宋_GB2312" w:hAnsi="仿宋_GB2312" w:eastAsia="仿宋_GB2312" w:cs="仿宋_GB2312"/>
          <w:b w:val="0"/>
          <w:bCs w:val="0"/>
          <w:sz w:val="32"/>
          <w:szCs w:val="32"/>
        </w:rPr>
        <w:t>会</w:t>
      </w:r>
      <w:r>
        <w:rPr>
          <w:rFonts w:hint="eastAsia" w:ascii="仿宋_GB2312" w:hAnsi="仿宋_GB2312" w:eastAsia="仿宋_GB2312" w:cs="仿宋_GB2312"/>
          <w:b w:val="0"/>
          <w:bCs w:val="0"/>
          <w:sz w:val="32"/>
          <w:szCs w:val="32"/>
        </w:rPr>
        <w:t>2017</w:t>
      </w:r>
      <w:r>
        <w:rPr>
          <w:rFonts w:hint="eastAsia" w:ascii="仿宋_GB2312" w:hAnsi="仿宋_GB2312" w:eastAsia="仿宋_GB2312" w:cs="仿宋_GB2312"/>
          <w:b w:val="0"/>
          <w:bCs w:val="0"/>
          <w:sz w:val="32"/>
          <w:szCs w:val="32"/>
        </w:rPr>
        <w:t>年度高等教育科学研究课题立项一般项目</w:t>
      </w:r>
      <w:r>
        <w:rPr>
          <w:rFonts w:hint="eastAsia" w:ascii="仿宋_GB2312" w:hAnsi="仿宋_GB2312" w:eastAsia="仿宋_GB2312" w:cs="仿宋_GB2312"/>
          <w:b w:val="0"/>
          <w:bCs w:val="0"/>
          <w:sz w:val="32"/>
          <w:szCs w:val="32"/>
        </w:rPr>
        <w:t>1</w:t>
      </w:r>
      <w:r>
        <w:rPr>
          <w:rFonts w:hint="eastAsia" w:ascii="仿宋_GB2312" w:hAnsi="仿宋_GB2312" w:eastAsia="仿宋_GB2312" w:cs="仿宋_GB2312"/>
          <w:b w:val="0"/>
          <w:bCs w:val="0"/>
          <w:sz w:val="32"/>
          <w:szCs w:val="32"/>
        </w:rPr>
        <w:t>项。</w:t>
      </w:r>
    </w:p>
    <w:p>
      <w:pPr>
        <w:keepNext w:val="0"/>
        <w:keepLines w:val="0"/>
        <w:pageBreakBefore w:val="0"/>
        <w:kinsoku/>
        <w:wordWrap/>
        <w:overflowPunct/>
        <w:topLinePunct w:val="0"/>
        <w:bidi w:val="0"/>
        <w:snapToGrid w:val="0"/>
        <w:spacing w:line="560" w:lineRule="exact"/>
        <w:ind w:left="0" w:leftChars="0" w:right="0" w:rightChars="0" w:firstLine="570"/>
        <w:textAlignment w:val="auto"/>
        <w:outlineLvl w:val="9"/>
        <w:rPr>
          <w:rFonts w:hint="eastAsia" w:ascii="仿宋_GB2312" w:hAnsi="仿宋_GB2312" w:eastAsia="仿宋_GB2312" w:cs="仿宋_GB2312"/>
          <w:b w:val="0"/>
          <w:bCs w:val="0"/>
          <w:sz w:val="32"/>
          <w:szCs w:val="32"/>
        </w:rPr>
      </w:pPr>
      <w:bookmarkStart w:id="0" w:name="_GoBack"/>
      <w:r>
        <w:rPr>
          <w:rFonts w:hint="eastAsia" w:ascii="黑体" w:hAnsi="黑体" w:eastAsia="黑体" w:cs="黑体"/>
          <w:b w:val="0"/>
          <w:bCs w:val="0"/>
          <w:sz w:val="32"/>
          <w:szCs w:val="32"/>
        </w:rPr>
        <w:t>四、努力方向</w:t>
      </w:r>
      <w:bookmarkEnd w:id="0"/>
    </w:p>
    <w:p>
      <w:pPr>
        <w:keepNext w:val="0"/>
        <w:keepLines w:val="0"/>
        <w:pageBreakBefore w:val="0"/>
        <w:kinsoku/>
        <w:wordWrap/>
        <w:overflowPunct/>
        <w:topLinePunct w:val="0"/>
        <w:bidi w:val="0"/>
        <w:snapToGrid w:val="0"/>
        <w:spacing w:line="560" w:lineRule="exact"/>
        <w:ind w:left="0" w:leftChars="0" w:right="0" w:rightChars="0" w:firstLine="561"/>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在看到成绩的同时，我们也必须正视问题与不足。</w:t>
      </w:r>
    </w:p>
    <w:p>
      <w:pPr>
        <w:keepNext w:val="0"/>
        <w:keepLines w:val="0"/>
        <w:pageBreakBefore w:val="0"/>
        <w:kinsoku/>
        <w:wordWrap/>
        <w:overflowPunct/>
        <w:topLinePunct w:val="0"/>
        <w:bidi w:val="0"/>
        <w:snapToGrid w:val="0"/>
        <w:spacing w:line="560" w:lineRule="exact"/>
        <w:ind w:left="0" w:leftChars="0" w:right="0" w:rightChars="0" w:firstLine="561"/>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第一，加强政治理论学习</w:t>
      </w:r>
      <w:r>
        <w:rPr>
          <w:rFonts w:hint="eastAsia" w:ascii="仿宋_GB2312" w:hAnsi="仿宋_GB2312" w:eastAsia="仿宋_GB2312" w:cs="仿宋_GB2312"/>
          <w:b w:val="0"/>
          <w:bCs w:val="0"/>
          <w:sz w:val="32"/>
          <w:szCs w:val="32"/>
        </w:rPr>
        <w:t>。班子成员一定程度上还存在业务取向观念，认为业务能力提升优先于理论水平的提高等片面观点，理论学习时间往往被紧张的教学、科研工作所挤占，用于政治学习的时间少，需进一步加强政治理论学习。</w:t>
      </w:r>
    </w:p>
    <w:p>
      <w:pPr>
        <w:keepNext w:val="0"/>
        <w:keepLines w:val="0"/>
        <w:pageBreakBefore w:val="0"/>
        <w:kinsoku/>
        <w:wordWrap/>
        <w:overflowPunct/>
        <w:topLinePunct w:val="0"/>
        <w:bidi w:val="0"/>
        <w:snapToGrid w:val="0"/>
        <w:spacing w:line="560" w:lineRule="exact"/>
        <w:ind w:left="0" w:leftChars="0" w:right="0" w:rightChars="0" w:firstLine="561"/>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第二，“质”与“量”上深化教改</w:t>
      </w: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rPr>
        <w:t>教学改革还需要继续盘活存量，力争增量，在量与质上深化改革，让更多的老师参与进来，实践更为科学、规范、有效的教学理念；师资队伍建设职称结构、学位结构比例严重失衡，尤其学位方面与学校要求差距过大。</w:t>
      </w:r>
    </w:p>
    <w:sectPr>
      <w:footerReference r:id="rId3" w:type="default"/>
      <w:footerReference r:id="rId4" w:type="even"/>
      <w:pgSz w:w="11906" w:h="16838"/>
      <w:pgMar w:top="1440" w:right="1588" w:bottom="1304"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
    <w:altName w:val="宋体"/>
    <w:panose1 w:val="02010609060101010101"/>
    <w:charset w:val="86"/>
    <w:family w:val="modern"/>
    <w:pitch w:val="default"/>
    <w:sig w:usb0="00000000" w:usb1="00000000"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
    <w:altName w:val="宋体"/>
    <w:panose1 w:val="02010609060101010101"/>
    <w:charset w:val="86"/>
    <w:family w:val="modern"/>
    <w:pitch w:val="default"/>
    <w:sig w:usb0="00000000" w:usb1="00000000" w:usb2="00000016" w:usb3="00000000" w:csb0="00040001" w:csb1="00000000"/>
  </w:font>
  <w:font w:name="Arial">
    <w:panose1 w:val="020B0604020202020204"/>
    <w:charset w:val="00"/>
    <w:family w:val="swiss"/>
    <w:pitch w:val="default"/>
    <w:sig w:usb0="00007A87" w:usb1="80000000" w:usb2="00000008" w:usb3="00000000" w:csb0="400001FF" w:csb1="FFFF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fldChar w:fldCharType="begin"/>
    </w:r>
    <w:r>
      <w:instrText xml:space="preserve">PAGE   \* MERGEFORMAT</w:instrText>
    </w:r>
    <w:r>
      <w:fldChar w:fldCharType="separate"/>
    </w:r>
    <w:r>
      <w:rPr>
        <w:lang w:val="zh-CN"/>
      </w:rPr>
      <w:t>1</w:t>
    </w:r>
    <w: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right" w:y="1"/>
      <w:rPr>
        <w:rStyle w:val="6"/>
      </w:rPr>
    </w:pPr>
    <w:r>
      <w:rPr>
        <w:rStyle w:val="6"/>
      </w:rPr>
      <w:fldChar w:fldCharType="begin"/>
    </w:r>
    <w:r>
      <w:rPr>
        <w:rStyle w:val="6"/>
      </w:rPr>
      <w:instrText xml:space="preserve">PAGE  </w:instrText>
    </w:r>
    <w:r>
      <w:rPr>
        <w:rStyle w:val="6"/>
      </w:rPr>
      <w:fldChar w:fldCharType="end"/>
    </w:r>
  </w:p>
  <w:p>
    <w:pPr>
      <w:pStyle w:val="2"/>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4D65"/>
    <w:rsid w:val="00047B7F"/>
    <w:rsid w:val="000B1733"/>
    <w:rsid w:val="00117A0E"/>
    <w:rsid w:val="00131B4F"/>
    <w:rsid w:val="001E0574"/>
    <w:rsid w:val="002D596D"/>
    <w:rsid w:val="00361ABF"/>
    <w:rsid w:val="00395DD8"/>
    <w:rsid w:val="00401361"/>
    <w:rsid w:val="004141DF"/>
    <w:rsid w:val="004A40E1"/>
    <w:rsid w:val="005330BF"/>
    <w:rsid w:val="005336A4"/>
    <w:rsid w:val="00534B0F"/>
    <w:rsid w:val="005979BF"/>
    <w:rsid w:val="005A1EEF"/>
    <w:rsid w:val="005D05B3"/>
    <w:rsid w:val="005D3686"/>
    <w:rsid w:val="005D745F"/>
    <w:rsid w:val="0065081A"/>
    <w:rsid w:val="00674EAB"/>
    <w:rsid w:val="00693C3F"/>
    <w:rsid w:val="007068C7"/>
    <w:rsid w:val="0072338A"/>
    <w:rsid w:val="0076128C"/>
    <w:rsid w:val="00786412"/>
    <w:rsid w:val="007F5BBF"/>
    <w:rsid w:val="00833886"/>
    <w:rsid w:val="008826E0"/>
    <w:rsid w:val="00883058"/>
    <w:rsid w:val="00893C7E"/>
    <w:rsid w:val="008A1206"/>
    <w:rsid w:val="008A2706"/>
    <w:rsid w:val="008B5633"/>
    <w:rsid w:val="0090770B"/>
    <w:rsid w:val="00930009"/>
    <w:rsid w:val="009B402B"/>
    <w:rsid w:val="009E683C"/>
    <w:rsid w:val="00AC756F"/>
    <w:rsid w:val="00AE2710"/>
    <w:rsid w:val="00B207A4"/>
    <w:rsid w:val="00B45DA4"/>
    <w:rsid w:val="00B701AC"/>
    <w:rsid w:val="00BA5FD2"/>
    <w:rsid w:val="00C66A39"/>
    <w:rsid w:val="00C9453D"/>
    <w:rsid w:val="00C95567"/>
    <w:rsid w:val="00CB7044"/>
    <w:rsid w:val="00CD2C9E"/>
    <w:rsid w:val="00CE4402"/>
    <w:rsid w:val="00D664D0"/>
    <w:rsid w:val="00D97298"/>
    <w:rsid w:val="00E3070C"/>
    <w:rsid w:val="00E370B6"/>
    <w:rsid w:val="00E90CA5"/>
    <w:rsid w:val="00EE148D"/>
    <w:rsid w:val="00F64D65"/>
    <w:rsid w:val="7C5B379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iPriority w:val="99"/>
    <w:pPr>
      <w:tabs>
        <w:tab w:val="center" w:pos="4153"/>
        <w:tab w:val="right" w:pos="8306"/>
      </w:tabs>
      <w:snapToGrid w:val="0"/>
      <w:jc w:val="left"/>
    </w:pPr>
    <w:rPr>
      <w:sz w:val="18"/>
      <w:szCs w:val="18"/>
    </w:rPr>
  </w:style>
  <w:style w:type="paragraph" w:styleId="3">
    <w:name w:val="header"/>
    <w:basedOn w:val="1"/>
    <w:link w:val="10"/>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iPriority w:val="99"/>
    <w:pPr>
      <w:widowControl/>
      <w:spacing w:before="100" w:beforeAutospacing="1" w:after="100" w:afterAutospacing="1"/>
      <w:jc w:val="left"/>
    </w:pPr>
    <w:rPr>
      <w:rFonts w:ascii="宋体" w:hAnsi="宋体" w:cs="宋体"/>
      <w:kern w:val="0"/>
      <w:sz w:val="24"/>
      <w:szCs w:val="24"/>
    </w:rPr>
  </w:style>
  <w:style w:type="character" w:styleId="6">
    <w:name w:val="page number"/>
    <w:uiPriority w:val="99"/>
    <w:rPr>
      <w:rFonts w:cs="Times New Roman"/>
    </w:rPr>
  </w:style>
  <w:style w:type="character" w:customStyle="1" w:styleId="8">
    <w:name w:val="页脚 Char"/>
    <w:link w:val="2"/>
    <w:locked/>
    <w:uiPriority w:val="99"/>
    <w:rPr>
      <w:rFonts w:ascii="Calibri" w:hAnsi="Calibri" w:eastAsia="宋体" w:cs="Times New Roman"/>
      <w:kern w:val="2"/>
      <w:sz w:val="18"/>
      <w:szCs w:val="18"/>
      <w:lang w:val="en-US" w:eastAsia="zh-CN" w:bidi="ar-SA"/>
    </w:rPr>
  </w:style>
  <w:style w:type="paragraph" w:customStyle="1" w:styleId="9">
    <w:name w:val="无间隔1"/>
    <w:uiPriority w:val="99"/>
    <w:pPr>
      <w:widowControl w:val="0"/>
      <w:jc w:val="both"/>
    </w:pPr>
    <w:rPr>
      <w:rFonts w:ascii="Calibri" w:hAnsi="Calibri" w:eastAsia="宋体" w:cs="Times New Roman"/>
      <w:kern w:val="2"/>
      <w:sz w:val="21"/>
      <w:szCs w:val="22"/>
      <w:lang w:val="en-US" w:eastAsia="zh-CN" w:bidi="ar-SA"/>
    </w:rPr>
  </w:style>
  <w:style w:type="character" w:customStyle="1" w:styleId="10">
    <w:name w:val="页眉 Char"/>
    <w:link w:val="3"/>
    <w:qFormat/>
    <w:locked/>
    <w:uiPriority w:val="99"/>
    <w:rPr>
      <w:rFonts w:ascii="Calibri" w:hAnsi="Calibri" w:cs="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信念技术论坛</Company>
  <Pages>1</Pages>
  <Words>307</Words>
  <Characters>1753</Characters>
  <Lines>14</Lines>
  <Paragraphs>4</Paragraphs>
  <TotalTime>0</TotalTime>
  <ScaleCrop>false</ScaleCrop>
  <LinksUpToDate>false</LinksUpToDate>
  <CharactersWithSpaces>2056</CharactersWithSpaces>
  <Application>WPS Office_10.1.0.7023_F1E327BC-269C-435d-A152-05C5408002CA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2017-12-19T07:20:00Z</dcterms:created>
  <dc:creator>User</dc:creator>
  <cp:lastModifiedBy>l</cp:lastModifiedBy>
  <cp:lastPrinted>2017-12-20T02:29:00Z</cp:lastPrinted>
  <dcterms:modified xsi:type="dcterms:W3CDTF">2017-12-25T07:38:55Z</dcterms:modified>
  <dc:title>外语教学部</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