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jc w:val="center"/>
        <w:textAlignment w:val="auto"/>
        <w:outlineLvl w:val="9"/>
        <w:rPr>
          <w:rFonts w:hint="eastAsia" w:ascii="方正小标宋简体" w:hAnsi="方正小标宋简体" w:eastAsia="方正小标宋简体" w:cs="方正小标宋简体"/>
          <w:b w:val="0"/>
          <w:bCs/>
          <w:sz w:val="44"/>
          <w:szCs w:val="44"/>
        </w:rPr>
      </w:pPr>
      <w:r>
        <w:rPr>
          <w:rFonts w:hint="eastAsia" w:ascii="方正小标宋简体" w:hAnsi="方正小标宋简体" w:eastAsia="方正小标宋简体" w:cs="方正小标宋简体"/>
          <w:b w:val="0"/>
          <w:bCs/>
          <w:sz w:val="44"/>
          <w:szCs w:val="44"/>
          <w:lang w:val="en-US" w:eastAsia="zh-CN"/>
        </w:rPr>
        <w:t>2017年度</w:t>
      </w:r>
      <w:r>
        <w:rPr>
          <w:rFonts w:hint="eastAsia" w:ascii="方正小标宋简体" w:hAnsi="方正小标宋简体" w:eastAsia="方正小标宋简体" w:cs="方正小标宋简体"/>
          <w:b w:val="0"/>
          <w:bCs/>
          <w:sz w:val="44"/>
          <w:szCs w:val="44"/>
        </w:rPr>
        <w:t>述职述廉报告</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jc w:val="center"/>
        <w:textAlignment w:val="auto"/>
        <w:outlineLvl w:val="9"/>
        <w:rPr>
          <w:rFonts w:hint="eastAsia" w:ascii="仿宋_GB2312" w:hAnsi="仿宋_GB2312" w:eastAsia="仿宋_GB2312" w:cs="仿宋_GB2312"/>
          <w:b w:val="0"/>
          <w:bCs/>
          <w:sz w:val="32"/>
          <w:szCs w:val="32"/>
        </w:rPr>
      </w:pPr>
      <w:r>
        <w:rPr>
          <w:rFonts w:hint="eastAsia" w:ascii="楷体_GB2312" w:hAnsi="楷体_GB2312" w:eastAsia="楷体_GB2312" w:cs="楷体_GB2312"/>
          <w:b w:val="0"/>
          <w:bCs/>
          <w:sz w:val="32"/>
          <w:szCs w:val="32"/>
        </w:rPr>
        <w:t>董佰壹</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jc w:val="center"/>
        <w:textAlignment w:val="auto"/>
        <w:outlineLvl w:val="9"/>
        <w:rPr>
          <w:rFonts w:hint="eastAsia" w:ascii="仿宋_GB2312" w:hAnsi="仿宋_GB2312" w:eastAsia="仿宋_GB2312" w:cs="仿宋_GB2312"/>
          <w:b w:val="0"/>
          <w:bCs/>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textAlignment w:val="auto"/>
        <w:outlineLvl w:val="9"/>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 xml:space="preserve">    2017年，在校党委的坚强领导和陈亮常委的直接领导下，积极构建学校宣传思想文化工作新格局，为学校中心工作凝心聚力。坚持学用结合，在思想认识上有新飞跃，在探索创新上有新突破，较好地完成了工作任务，综合述职如下：</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textAlignment w:val="auto"/>
        <w:outlineLvl w:val="9"/>
        <w:rPr>
          <w:rFonts w:hint="eastAsia" w:ascii="黑体" w:hAnsi="黑体" w:eastAsia="黑体" w:cs="黑体"/>
          <w:b w:val="0"/>
          <w:bCs/>
          <w:sz w:val="32"/>
          <w:szCs w:val="32"/>
        </w:rPr>
      </w:pPr>
      <w:r>
        <w:rPr>
          <w:rFonts w:hint="eastAsia" w:ascii="仿宋_GB2312" w:hAnsi="仿宋_GB2312" w:eastAsia="仿宋_GB2312" w:cs="仿宋_GB2312"/>
          <w:b w:val="0"/>
          <w:bCs/>
          <w:sz w:val="32"/>
          <w:szCs w:val="32"/>
        </w:rPr>
        <w:t xml:space="preserve">  </w:t>
      </w:r>
      <w:r>
        <w:rPr>
          <w:rFonts w:hint="eastAsia" w:ascii="仿宋_GB2312" w:hAnsi="仿宋_GB2312" w:eastAsia="仿宋_GB2312" w:cs="仿宋_GB2312"/>
          <w:b w:val="0"/>
          <w:bCs/>
          <w:sz w:val="32"/>
          <w:szCs w:val="32"/>
        </w:rPr>
        <w:t xml:space="preserve">  </w:t>
      </w:r>
      <w:r>
        <w:rPr>
          <w:rFonts w:hint="eastAsia" w:ascii="黑体" w:hAnsi="黑体" w:eastAsia="黑体" w:cs="黑体"/>
          <w:b w:val="0"/>
          <w:bCs/>
          <w:sz w:val="32"/>
          <w:szCs w:val="32"/>
        </w:rPr>
        <w:t>一、以新思想引领新实践</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textAlignment w:val="auto"/>
        <w:outlineLvl w:val="9"/>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 xml:space="preserve">    自觉在思想上政治上行动上同党中央和上级党组织保持高度一致。围绕“迎接十九大、宣传十九大、贯彻十九大”这条主线，坚持拓宽宣传渠道、保持宣传力度、落实宣传质量，推动党的十九大精神入脑入心、落地生根。认真学习习近平新时代中国特色社会主义思想，以习总书记对意识形态、高校思想政治、新闻舆论、网络安全管理、哲学社会科学等领域的新思想为引领，讲好经贸故事、传递经贸声音、凝聚经贸力量，大幅提升宣传思想文化工作在全校中心工作的贡献率。按照政治品格要求、党性修养要求和职业素质要求严格要求自己，认真履行岗位职责，用自身的正气、团结，带动部门全体党员干部树正气、讲团结，在工作中敢于担当、锐意进取、积极作为、激情工作。</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5"/>
        <w:textAlignment w:val="auto"/>
        <w:outlineLvl w:val="9"/>
        <w:rPr>
          <w:rFonts w:hint="eastAsia" w:ascii="黑体" w:hAnsi="黑体" w:eastAsia="黑体" w:cs="黑体"/>
          <w:b w:val="0"/>
          <w:bCs/>
          <w:sz w:val="32"/>
          <w:szCs w:val="32"/>
        </w:rPr>
      </w:pPr>
      <w:r>
        <w:rPr>
          <w:rFonts w:hint="eastAsia" w:ascii="黑体" w:hAnsi="黑体" w:eastAsia="黑体" w:cs="黑体"/>
          <w:b w:val="0"/>
          <w:bCs/>
          <w:sz w:val="32"/>
          <w:szCs w:val="32"/>
        </w:rPr>
        <w:t>二、以新作为开创新局面</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5"/>
        <w:textAlignment w:val="auto"/>
        <w:outlineLvl w:val="9"/>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（一）立足新时代 提升品牌力</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textAlignment w:val="auto"/>
        <w:outlineLvl w:val="9"/>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 xml:space="preserve">   </w:t>
      </w:r>
      <w:r>
        <w:rPr>
          <w:rFonts w:hint="eastAsia" w:ascii="仿宋_GB2312" w:hAnsi="仿宋_GB2312" w:eastAsia="仿宋_GB2312" w:cs="仿宋_GB2312"/>
          <w:b w:val="0"/>
          <w:bCs/>
          <w:sz w:val="32"/>
          <w:szCs w:val="32"/>
        </w:rPr>
        <w:t>“两微一号”粉丝9万人，全年推送图文1600余条，阅读量600余万次，后台留言3万余条，综合影响力居河北高校第一，全国高校前20强。</w:t>
      </w:r>
      <w:r>
        <w:rPr>
          <w:rFonts w:hint="eastAsia" w:ascii="仿宋_GB2312" w:hAnsi="仿宋_GB2312" w:eastAsia="仿宋_GB2312" w:cs="仿宋_GB2312"/>
          <w:b w:val="0"/>
          <w:bCs/>
          <w:sz w:val="32"/>
          <w:szCs w:val="32"/>
        </w:rPr>
        <w:t>“两微一号一联盟”新媒体矩阵传播力、影响力与日俱增，已成为学校网络思想政治工作和校园文化建设的第一平台，成为提升学校美誉度的一张靓丽名片。</w:t>
      </w:r>
      <w:r>
        <w:rPr>
          <w:rFonts w:hint="eastAsia" w:ascii="仿宋_GB2312" w:hAnsi="仿宋_GB2312" w:eastAsia="仿宋_GB2312" w:cs="仿宋_GB2312"/>
          <w:b w:val="0"/>
          <w:bCs/>
          <w:sz w:val="32"/>
          <w:szCs w:val="32"/>
        </w:rPr>
        <w:t>在第三届京津冀大学生思想政治教育协作论坛上，作为河北高校唯一代表，介绍了我校新媒体建设和管理经验，得到京津冀高校同仁的一致好评。</w:t>
      </w:r>
      <w:r>
        <w:rPr>
          <w:rFonts w:hint="eastAsia" w:ascii="仿宋_GB2312" w:hAnsi="仿宋_GB2312" w:eastAsia="仿宋_GB2312" w:cs="仿宋_GB2312"/>
          <w:b w:val="0"/>
          <w:bCs/>
          <w:sz w:val="32"/>
          <w:szCs w:val="32"/>
        </w:rPr>
        <w:t>学校以《打造“两微一号一联盟”新媒体格局真正引领师生、服务师生》为题介绍了我校践行网络群众路线和利用新媒体做好思想政治工作的做法，被省网信办列为高校先进典型。</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（二）运用新思维 打造新家园</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textAlignment w:val="auto"/>
        <w:outlineLvl w:val="9"/>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 xml:space="preserve">    </w:t>
      </w:r>
      <w:r>
        <w:rPr>
          <w:rFonts w:hint="eastAsia" w:ascii="仿宋_GB2312" w:hAnsi="仿宋_GB2312" w:eastAsia="仿宋_GB2312" w:cs="仿宋_GB2312"/>
          <w:b w:val="0"/>
          <w:bCs/>
          <w:sz w:val="32"/>
          <w:szCs w:val="32"/>
        </w:rPr>
        <w:t>坚持内容为王，</w:t>
      </w:r>
      <w:r>
        <w:rPr>
          <w:rFonts w:hint="eastAsia" w:ascii="仿宋_GB2312" w:hAnsi="仿宋_GB2312" w:eastAsia="仿宋_GB2312" w:cs="仿宋_GB2312"/>
          <w:b w:val="0"/>
          <w:bCs/>
          <w:sz w:val="32"/>
          <w:szCs w:val="32"/>
        </w:rPr>
        <w:t>以新媒体思维“精耕细作”，</w:t>
      </w:r>
      <w:r>
        <w:rPr>
          <w:rFonts w:hint="eastAsia" w:ascii="仿宋_GB2312" w:hAnsi="仿宋_GB2312" w:eastAsia="仿宋_GB2312" w:cs="仿宋_GB2312"/>
          <w:b w:val="0"/>
          <w:bCs/>
          <w:sz w:val="32"/>
          <w:szCs w:val="32"/>
        </w:rPr>
        <w:t>以小故事阐述大道理、以小话题回应大主题，做好价值引领和典型引领。比如学</w:t>
      </w:r>
      <w:r>
        <w:rPr>
          <w:rFonts w:hint="eastAsia" w:ascii="仿宋_GB2312" w:hAnsi="仿宋_GB2312" w:eastAsia="仿宋_GB2312" w:cs="仿宋_GB2312"/>
          <w:b w:val="0"/>
          <w:bCs/>
          <w:sz w:val="32"/>
          <w:szCs w:val="32"/>
        </w:rPr>
        <w:t>“</w:t>
      </w:r>
      <w:r>
        <w:rPr>
          <w:rFonts w:hint="eastAsia" w:ascii="仿宋_GB2312" w:hAnsi="仿宋_GB2312" w:eastAsia="仿宋_GB2312" w:cs="仿宋_GB2312"/>
          <w:b w:val="0"/>
          <w:bCs/>
          <w:sz w:val="32"/>
          <w:szCs w:val="32"/>
        </w:rPr>
        <w:t>习</w:t>
      </w:r>
      <w:r>
        <w:rPr>
          <w:rFonts w:hint="eastAsia" w:ascii="仿宋_GB2312" w:hAnsi="仿宋_GB2312" w:eastAsia="仿宋_GB2312" w:cs="仿宋_GB2312"/>
          <w:b w:val="0"/>
          <w:bCs/>
          <w:sz w:val="32"/>
          <w:szCs w:val="32"/>
        </w:rPr>
        <w:t>”</w:t>
      </w:r>
      <w:r>
        <w:rPr>
          <w:rFonts w:hint="eastAsia" w:ascii="仿宋_GB2312" w:hAnsi="仿宋_GB2312" w:eastAsia="仿宋_GB2312" w:cs="仿宋_GB2312"/>
          <w:b w:val="0"/>
          <w:bCs/>
          <w:sz w:val="32"/>
          <w:szCs w:val="32"/>
        </w:rPr>
        <w:t>用典栏目，</w:t>
      </w:r>
      <w:r>
        <w:rPr>
          <w:rFonts w:hint="eastAsia" w:ascii="仿宋_GB2312" w:hAnsi="仿宋_GB2312" w:eastAsia="仿宋_GB2312" w:cs="仿宋_GB2312"/>
          <w:b w:val="0"/>
          <w:bCs/>
          <w:sz w:val="32"/>
          <w:szCs w:val="32"/>
        </w:rPr>
        <w:t>“微思政”，“</w:t>
      </w:r>
      <w:r>
        <w:rPr>
          <w:rFonts w:hint="eastAsia" w:ascii="仿宋_GB2312" w:hAnsi="仿宋_GB2312" w:eastAsia="仿宋_GB2312" w:cs="仿宋_GB2312"/>
          <w:b w:val="0"/>
          <w:bCs/>
          <w:sz w:val="32"/>
          <w:szCs w:val="32"/>
        </w:rPr>
        <w:t>最美</w:t>
      </w:r>
      <w:r>
        <w:rPr>
          <w:rFonts w:hint="eastAsia" w:ascii="仿宋_GB2312" w:hAnsi="仿宋_GB2312" w:eastAsia="仿宋_GB2312" w:cs="仿宋_GB2312"/>
          <w:b w:val="0"/>
          <w:bCs/>
          <w:sz w:val="32"/>
          <w:szCs w:val="32"/>
        </w:rPr>
        <w:t>经贸人”</w:t>
      </w:r>
      <w:r>
        <w:rPr>
          <w:rFonts w:hint="eastAsia" w:ascii="仿宋_GB2312" w:hAnsi="仿宋_GB2312" w:eastAsia="仿宋_GB2312" w:cs="仿宋_GB2312"/>
          <w:b w:val="0"/>
          <w:bCs/>
          <w:sz w:val="32"/>
          <w:szCs w:val="32"/>
        </w:rPr>
        <w:t>，</w:t>
      </w:r>
      <w:r>
        <w:rPr>
          <w:rFonts w:hint="eastAsia" w:ascii="仿宋_GB2312" w:hAnsi="仿宋_GB2312" w:eastAsia="仿宋_GB2312" w:cs="仿宋_GB2312"/>
          <w:b w:val="0"/>
          <w:bCs/>
          <w:sz w:val="32"/>
          <w:szCs w:val="32"/>
        </w:rPr>
        <w:t>“</w:t>
      </w:r>
      <w:r>
        <w:rPr>
          <w:rFonts w:hint="eastAsia" w:ascii="仿宋_GB2312" w:hAnsi="仿宋_GB2312" w:eastAsia="仿宋_GB2312" w:cs="仿宋_GB2312"/>
          <w:b w:val="0"/>
          <w:bCs/>
          <w:sz w:val="32"/>
          <w:szCs w:val="32"/>
        </w:rPr>
        <w:t>校长特别奖教师</w:t>
      </w:r>
      <w:r>
        <w:rPr>
          <w:rFonts w:hint="eastAsia" w:ascii="仿宋_GB2312" w:hAnsi="仿宋_GB2312" w:eastAsia="仿宋_GB2312" w:cs="仿宋_GB2312"/>
          <w:b w:val="0"/>
          <w:bCs/>
          <w:sz w:val="32"/>
          <w:szCs w:val="32"/>
        </w:rPr>
        <w:t>”</w:t>
      </w:r>
      <w:r>
        <w:rPr>
          <w:rFonts w:hint="eastAsia" w:ascii="仿宋_GB2312" w:hAnsi="仿宋_GB2312" w:eastAsia="仿宋_GB2312" w:cs="仿宋_GB2312"/>
          <w:b w:val="0"/>
          <w:bCs/>
          <w:sz w:val="32"/>
          <w:szCs w:val="32"/>
        </w:rPr>
        <w:t>，</w:t>
      </w:r>
      <w:r>
        <w:rPr>
          <w:rFonts w:hint="eastAsia" w:ascii="仿宋_GB2312" w:hAnsi="仿宋_GB2312" w:eastAsia="仿宋_GB2312" w:cs="仿宋_GB2312"/>
          <w:b w:val="0"/>
          <w:bCs/>
          <w:sz w:val="32"/>
          <w:szCs w:val="32"/>
        </w:rPr>
        <w:t>“</w:t>
      </w:r>
      <w:r>
        <w:rPr>
          <w:rFonts w:hint="eastAsia" w:ascii="仿宋_GB2312" w:hAnsi="仿宋_GB2312" w:eastAsia="仿宋_GB2312" w:cs="仿宋_GB2312"/>
          <w:b w:val="0"/>
          <w:bCs/>
          <w:sz w:val="32"/>
          <w:szCs w:val="32"/>
        </w:rPr>
        <w:t>青年科研标兵</w:t>
      </w:r>
      <w:r>
        <w:rPr>
          <w:rFonts w:hint="eastAsia" w:ascii="仿宋_GB2312" w:hAnsi="仿宋_GB2312" w:eastAsia="仿宋_GB2312" w:cs="仿宋_GB2312"/>
          <w:b w:val="0"/>
          <w:bCs/>
          <w:sz w:val="32"/>
          <w:szCs w:val="32"/>
        </w:rPr>
        <w:t>”</w:t>
      </w:r>
      <w:r>
        <w:rPr>
          <w:rFonts w:hint="eastAsia" w:ascii="仿宋_GB2312" w:hAnsi="仿宋_GB2312" w:eastAsia="仿宋_GB2312" w:cs="仿宋_GB2312"/>
          <w:b w:val="0"/>
          <w:bCs/>
          <w:sz w:val="32"/>
          <w:szCs w:val="32"/>
        </w:rPr>
        <w:t>、</w:t>
      </w:r>
      <w:r>
        <w:rPr>
          <w:rFonts w:hint="eastAsia" w:ascii="仿宋_GB2312" w:hAnsi="仿宋_GB2312" w:eastAsia="仿宋_GB2312" w:cs="仿宋_GB2312"/>
          <w:b w:val="0"/>
          <w:bCs/>
          <w:sz w:val="32"/>
          <w:szCs w:val="32"/>
        </w:rPr>
        <w:t>“</w:t>
      </w:r>
      <w:r>
        <w:rPr>
          <w:rFonts w:hint="eastAsia" w:ascii="仿宋_GB2312" w:hAnsi="仿宋_GB2312" w:eastAsia="仿宋_GB2312" w:cs="仿宋_GB2312"/>
          <w:b w:val="0"/>
          <w:bCs/>
          <w:sz w:val="32"/>
          <w:szCs w:val="32"/>
        </w:rPr>
        <w:t>我爱我家</w:t>
      </w:r>
      <w:r>
        <w:rPr>
          <w:rFonts w:hint="eastAsia" w:ascii="仿宋_GB2312" w:hAnsi="仿宋_GB2312" w:eastAsia="仿宋_GB2312" w:cs="仿宋_GB2312"/>
          <w:b w:val="0"/>
          <w:bCs/>
          <w:sz w:val="32"/>
          <w:szCs w:val="32"/>
        </w:rPr>
        <w:t>”</w:t>
      </w:r>
      <w:r>
        <w:rPr>
          <w:rFonts w:hint="eastAsia" w:ascii="仿宋_GB2312" w:hAnsi="仿宋_GB2312" w:eastAsia="仿宋_GB2312" w:cs="仿宋_GB2312"/>
          <w:b w:val="0"/>
          <w:bCs/>
          <w:sz w:val="32"/>
          <w:szCs w:val="32"/>
        </w:rPr>
        <w:t>、</w:t>
      </w:r>
      <w:r>
        <w:rPr>
          <w:rFonts w:hint="eastAsia" w:ascii="仿宋_GB2312" w:hAnsi="仿宋_GB2312" w:eastAsia="仿宋_GB2312" w:cs="仿宋_GB2312"/>
          <w:b w:val="0"/>
          <w:bCs/>
          <w:sz w:val="32"/>
          <w:szCs w:val="32"/>
        </w:rPr>
        <w:t>“</w:t>
      </w:r>
      <w:r>
        <w:rPr>
          <w:rFonts w:hint="eastAsia" w:ascii="仿宋_GB2312" w:hAnsi="仿宋_GB2312" w:eastAsia="仿宋_GB2312" w:cs="仿宋_GB2312"/>
          <w:b w:val="0"/>
          <w:bCs/>
          <w:sz w:val="32"/>
          <w:szCs w:val="32"/>
        </w:rPr>
        <w:t>自强之星</w:t>
      </w:r>
      <w:r>
        <w:rPr>
          <w:rFonts w:hint="eastAsia" w:ascii="仿宋_GB2312" w:hAnsi="仿宋_GB2312" w:eastAsia="仿宋_GB2312" w:cs="仿宋_GB2312"/>
          <w:b w:val="0"/>
          <w:bCs/>
          <w:sz w:val="32"/>
          <w:szCs w:val="32"/>
        </w:rPr>
        <w:t>”</w:t>
      </w:r>
      <w:r>
        <w:rPr>
          <w:rFonts w:hint="eastAsia" w:ascii="仿宋_GB2312" w:hAnsi="仿宋_GB2312" w:eastAsia="仿宋_GB2312" w:cs="仿宋_GB2312"/>
          <w:b w:val="0"/>
          <w:bCs/>
          <w:sz w:val="32"/>
          <w:szCs w:val="32"/>
        </w:rPr>
        <w:t xml:space="preserve"> 、 </w:t>
      </w:r>
      <w:r>
        <w:rPr>
          <w:rFonts w:hint="eastAsia" w:ascii="仿宋_GB2312" w:hAnsi="仿宋_GB2312" w:eastAsia="仿宋_GB2312" w:cs="仿宋_GB2312"/>
          <w:b w:val="0"/>
          <w:bCs/>
          <w:sz w:val="32"/>
          <w:szCs w:val="32"/>
        </w:rPr>
        <w:t>“</w:t>
      </w:r>
      <w:r>
        <w:rPr>
          <w:rFonts w:hint="eastAsia" w:ascii="仿宋_GB2312" w:hAnsi="仿宋_GB2312" w:eastAsia="仿宋_GB2312" w:cs="仿宋_GB2312"/>
          <w:b w:val="0"/>
          <w:bCs/>
          <w:sz w:val="32"/>
          <w:szCs w:val="32"/>
        </w:rPr>
        <w:t>经贸美食美景</w:t>
      </w:r>
      <w:r>
        <w:rPr>
          <w:rFonts w:hint="eastAsia" w:ascii="仿宋_GB2312" w:hAnsi="仿宋_GB2312" w:eastAsia="仿宋_GB2312" w:cs="仿宋_GB2312"/>
          <w:b w:val="0"/>
          <w:bCs/>
          <w:sz w:val="32"/>
          <w:szCs w:val="32"/>
        </w:rPr>
        <w:t>”</w:t>
      </w:r>
      <w:r>
        <w:rPr>
          <w:rFonts w:hint="eastAsia" w:ascii="仿宋_GB2312" w:hAnsi="仿宋_GB2312" w:eastAsia="仿宋_GB2312" w:cs="仿宋_GB2312"/>
          <w:b w:val="0"/>
          <w:bCs/>
          <w:sz w:val="32"/>
          <w:szCs w:val="32"/>
        </w:rPr>
        <w:t>专题</w:t>
      </w:r>
      <w:r>
        <w:rPr>
          <w:rFonts w:hint="eastAsia" w:ascii="仿宋_GB2312" w:hAnsi="仿宋_GB2312" w:eastAsia="仿宋_GB2312" w:cs="仿宋_GB2312"/>
          <w:b w:val="0"/>
          <w:bCs/>
          <w:sz w:val="32"/>
          <w:szCs w:val="32"/>
        </w:rPr>
        <w:t>等</w:t>
      </w:r>
      <w:r>
        <w:rPr>
          <w:rFonts w:hint="eastAsia" w:ascii="仿宋_GB2312" w:hAnsi="仿宋_GB2312" w:eastAsia="仿宋_GB2312" w:cs="仿宋_GB2312"/>
          <w:b w:val="0"/>
          <w:bCs/>
          <w:sz w:val="32"/>
          <w:szCs w:val="32"/>
        </w:rPr>
        <w:t>，均获得了良好的传播效果</w:t>
      </w:r>
      <w:r>
        <w:rPr>
          <w:rFonts w:hint="eastAsia" w:ascii="仿宋_GB2312" w:hAnsi="仿宋_GB2312" w:eastAsia="仿宋_GB2312" w:cs="仿宋_GB2312"/>
          <w:b w:val="0"/>
          <w:bCs/>
          <w:sz w:val="32"/>
          <w:szCs w:val="32"/>
        </w:rPr>
        <w:t>，在师生中引起了强烈共鸣。</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textAlignment w:val="auto"/>
        <w:outlineLvl w:val="9"/>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 xml:space="preserve">   </w:t>
      </w:r>
      <w:r>
        <w:rPr>
          <w:rFonts w:hint="eastAsia" w:ascii="仿宋_GB2312" w:hAnsi="仿宋_GB2312" w:eastAsia="仿宋_GB2312" w:cs="仿宋_GB2312"/>
          <w:b w:val="0"/>
          <w:bCs/>
          <w:sz w:val="32"/>
          <w:szCs w:val="32"/>
        </w:rPr>
        <w:t xml:space="preserve"> </w:t>
      </w:r>
      <w:r>
        <w:rPr>
          <w:rFonts w:hint="eastAsia" w:ascii="仿宋_GB2312" w:hAnsi="仿宋_GB2312" w:eastAsia="仿宋_GB2312" w:cs="仿宋_GB2312"/>
          <w:b w:val="0"/>
          <w:bCs/>
          <w:sz w:val="32"/>
          <w:szCs w:val="32"/>
        </w:rPr>
        <w:t>创新互动方式，</w:t>
      </w:r>
      <w:r>
        <w:rPr>
          <w:rFonts w:hint="eastAsia" w:ascii="仿宋_GB2312" w:hAnsi="仿宋_GB2312" w:eastAsia="仿宋_GB2312" w:cs="仿宋_GB2312"/>
          <w:b w:val="0"/>
          <w:bCs/>
          <w:sz w:val="32"/>
          <w:szCs w:val="32"/>
        </w:rPr>
        <w:t>多元互动，有来有往，</w:t>
      </w:r>
      <w:r>
        <w:rPr>
          <w:rFonts w:hint="eastAsia" w:ascii="仿宋_GB2312" w:hAnsi="仿宋_GB2312" w:eastAsia="仿宋_GB2312" w:cs="仿宋_GB2312"/>
          <w:b w:val="0"/>
          <w:bCs/>
          <w:sz w:val="32"/>
          <w:szCs w:val="32"/>
        </w:rPr>
        <w:t>平台管理者将反映主流价值观、语言表达清晰活泼的留言、帖子等通过置顶、推荐为精彩发言等方式，形成了良性互动，统一了思想，提高了广大师生归属感和主人翁意识，</w:t>
      </w:r>
      <w:r>
        <w:rPr>
          <w:rFonts w:hint="eastAsia" w:ascii="仿宋_GB2312" w:hAnsi="仿宋_GB2312" w:eastAsia="仿宋_GB2312" w:cs="仿宋_GB2312"/>
          <w:b w:val="0"/>
          <w:bCs/>
          <w:sz w:val="32"/>
          <w:szCs w:val="32"/>
        </w:rPr>
        <w:t>其中书记和校长多次在后台留言回应师生关切，以上率下践行了网上群众路线。</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textAlignment w:val="auto"/>
        <w:outlineLvl w:val="9"/>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 xml:space="preserve">   </w:t>
      </w:r>
      <w:r>
        <w:rPr>
          <w:rFonts w:hint="eastAsia" w:ascii="仿宋_GB2312" w:hAnsi="仿宋_GB2312" w:eastAsia="仿宋_GB2312" w:cs="仿宋_GB2312"/>
          <w:b w:val="0"/>
          <w:bCs/>
          <w:sz w:val="32"/>
          <w:szCs w:val="32"/>
        </w:rPr>
        <w:t>（三）拓展新联盟 实现真联动</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textAlignment w:val="auto"/>
        <w:outlineLvl w:val="9"/>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 xml:space="preserve">    </w:t>
      </w:r>
      <w:r>
        <w:rPr>
          <w:rFonts w:hint="eastAsia" w:ascii="仿宋_GB2312" w:hAnsi="仿宋_GB2312" w:eastAsia="仿宋_GB2312" w:cs="仿宋_GB2312"/>
          <w:b w:val="0"/>
          <w:bCs/>
          <w:sz w:val="32"/>
          <w:szCs w:val="32"/>
        </w:rPr>
        <w:t>不断增强校内联盟力量，实现同声共振聚合传播。</w:t>
      </w:r>
      <w:r>
        <w:rPr>
          <w:rFonts w:hint="eastAsia" w:ascii="仿宋_GB2312" w:hAnsi="仿宋_GB2312" w:eastAsia="仿宋_GB2312" w:cs="仿宋_GB2312"/>
          <w:b w:val="0"/>
          <w:bCs/>
          <w:sz w:val="32"/>
          <w:szCs w:val="32"/>
        </w:rPr>
        <w:t>一是建成学校、二级单位、学生组织三级新媒体系统，联盟成员数量突破250家，形成了主题鲜明、分工明确的新媒体矩阵平台。二是联盟培训、评优机制日益健全，今年共组织三次新媒体成员业务培训，校内微信和微博排名及时在新媒体联盟网站公布。三是联盟供稿能力和发文质量不断提升，部门微博舆情引导能力显著增强，重大主题宣传实现同声共振聚合传播。</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textAlignment w:val="auto"/>
        <w:outlineLvl w:val="9"/>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 xml:space="preserve">    </w:t>
      </w:r>
      <w:r>
        <w:rPr>
          <w:rFonts w:hint="eastAsia" w:ascii="仿宋_GB2312" w:hAnsi="仿宋_GB2312" w:eastAsia="仿宋_GB2312" w:cs="仿宋_GB2312"/>
          <w:b w:val="0"/>
          <w:bCs/>
          <w:sz w:val="32"/>
          <w:szCs w:val="32"/>
        </w:rPr>
        <w:t>积极推进区域联盟合力 ，推进互动共享优势互补。</w:t>
      </w:r>
      <w:r>
        <w:rPr>
          <w:rFonts w:hint="eastAsia" w:ascii="仿宋_GB2312" w:hAnsi="仿宋_GB2312" w:eastAsia="仿宋_GB2312" w:cs="仿宋_GB2312"/>
          <w:b w:val="0"/>
          <w:bCs/>
          <w:sz w:val="32"/>
          <w:szCs w:val="32"/>
        </w:rPr>
        <w:t>一是承办腾讯华北区高校新媒体及信息化建设研讨会，搭建了一个优质新媒体资源的共享学习平台。二是作为常务理事单位筹建了河北高校新媒体联盟，起草了联盟章程，分享了我校联盟的建设经验。三是参加新浪微博河北校园峰会，介绍官博运营理念。四是与校外新媒体平台建立了良好合作关系，向河北教育发布、共青团中央官微、“北洋之家”等供稿10余篇，网易云音乐上传了我们的《经贸广播》。</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textAlignment w:val="auto"/>
        <w:outlineLvl w:val="9"/>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 xml:space="preserve">   </w:t>
      </w:r>
      <w:r>
        <w:rPr>
          <w:rFonts w:hint="eastAsia" w:ascii="仿宋_GB2312" w:hAnsi="仿宋_GB2312" w:eastAsia="仿宋_GB2312" w:cs="仿宋_GB2312"/>
          <w:b w:val="0"/>
          <w:bCs/>
          <w:sz w:val="32"/>
          <w:szCs w:val="32"/>
        </w:rPr>
        <w:t>（四）担当新使命 提高贡献度</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textAlignment w:val="auto"/>
        <w:outlineLvl w:val="9"/>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 xml:space="preserve">    </w:t>
      </w:r>
      <w:r>
        <w:rPr>
          <w:rFonts w:hint="eastAsia" w:ascii="仿宋_GB2312" w:hAnsi="仿宋_GB2312" w:eastAsia="仿宋_GB2312" w:cs="仿宋_GB2312"/>
          <w:b w:val="0"/>
          <w:bCs/>
          <w:sz w:val="32"/>
          <w:szCs w:val="32"/>
        </w:rPr>
        <w:t>传播经贸声音。一是做足成就宣传</w:t>
      </w:r>
      <w:r>
        <w:rPr>
          <w:rFonts w:hint="eastAsia" w:ascii="仿宋_GB2312" w:hAnsi="仿宋_GB2312" w:eastAsia="仿宋_GB2312" w:cs="仿宋_GB2312"/>
          <w:b w:val="0"/>
          <w:bCs/>
          <w:sz w:val="32"/>
          <w:szCs w:val="32"/>
        </w:rPr>
        <w:t xml:space="preserve">，如《燃爆！我为经贸点一个大大的赞》阅读量45935。 </w:t>
      </w:r>
      <w:r>
        <w:rPr>
          <w:rFonts w:hint="eastAsia" w:ascii="仿宋_GB2312" w:hAnsi="仿宋_GB2312" w:eastAsia="仿宋_GB2312" w:cs="仿宋_GB2312"/>
          <w:b w:val="0"/>
          <w:bCs/>
          <w:sz w:val="32"/>
          <w:szCs w:val="32"/>
        </w:rPr>
        <w:t>二是做好权威发布</w:t>
      </w:r>
      <w:r>
        <w:rPr>
          <w:rFonts w:hint="eastAsia" w:ascii="仿宋_GB2312" w:hAnsi="仿宋_GB2312" w:eastAsia="仿宋_GB2312" w:cs="仿宋_GB2312"/>
          <w:b w:val="0"/>
          <w:bCs/>
          <w:sz w:val="32"/>
          <w:szCs w:val="32"/>
        </w:rPr>
        <w:t>，如《河北经贸大学急聘154名教职工！》阅读量17271。</w:t>
      </w:r>
      <w:r>
        <w:rPr>
          <w:rFonts w:hint="eastAsia" w:ascii="仿宋_GB2312" w:hAnsi="仿宋_GB2312" w:eastAsia="仿宋_GB2312" w:cs="仿宋_GB2312"/>
          <w:b w:val="0"/>
          <w:bCs/>
          <w:sz w:val="32"/>
          <w:szCs w:val="32"/>
        </w:rPr>
        <w:t>提升经贸文化。</w:t>
      </w:r>
      <w:r>
        <w:rPr>
          <w:rFonts w:hint="eastAsia" w:ascii="仿宋_GB2312" w:hAnsi="仿宋_GB2312" w:eastAsia="仿宋_GB2312" w:cs="仿宋_GB2312"/>
          <w:b w:val="0"/>
          <w:bCs/>
          <w:sz w:val="32"/>
          <w:szCs w:val="32"/>
        </w:rPr>
        <w:t>《终于等到你！经贸大首届银杏节震撼开幕》阅读量17829。</w:t>
      </w:r>
      <w:r>
        <w:rPr>
          <w:rFonts w:hint="eastAsia" w:ascii="仿宋_GB2312" w:hAnsi="仿宋_GB2312" w:eastAsia="仿宋_GB2312" w:cs="仿宋_GB2312"/>
          <w:b w:val="0"/>
          <w:bCs/>
          <w:sz w:val="32"/>
          <w:szCs w:val="32"/>
        </w:rPr>
        <w:t>二是密切关注师生生活</w:t>
      </w:r>
      <w:r>
        <w:rPr>
          <w:rFonts w:hint="eastAsia" w:ascii="仿宋_GB2312" w:hAnsi="仿宋_GB2312" w:eastAsia="仿宋_GB2312" w:cs="仿宋_GB2312"/>
          <w:b w:val="0"/>
          <w:bCs/>
          <w:sz w:val="32"/>
          <w:szCs w:val="32"/>
        </w:rPr>
        <w:t>，《15个学院大汇演，你最喜欢哪一个？》阅读量8187。</w:t>
      </w:r>
      <w:r>
        <w:rPr>
          <w:rFonts w:hint="eastAsia" w:ascii="仿宋_GB2312" w:hAnsi="仿宋_GB2312" w:eastAsia="仿宋_GB2312" w:cs="仿宋_GB2312"/>
          <w:b w:val="0"/>
          <w:bCs/>
          <w:sz w:val="32"/>
          <w:szCs w:val="32"/>
        </w:rPr>
        <w:t>三是创作校园网络文化视频</w:t>
      </w:r>
      <w:r>
        <w:rPr>
          <w:rFonts w:hint="eastAsia" w:ascii="仿宋_GB2312" w:hAnsi="仿宋_GB2312" w:eastAsia="仿宋_GB2312" w:cs="仿宋_GB2312"/>
          <w:b w:val="0"/>
          <w:bCs/>
          <w:sz w:val="32"/>
          <w:szCs w:val="32"/>
        </w:rPr>
        <w:t>， 如《经贸版成都MV震撼发布！》阅读量25625，《经贸版告白气球重磅推出！》阅读量7215。</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textAlignment w:val="auto"/>
        <w:outlineLvl w:val="9"/>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 xml:space="preserve">   </w:t>
      </w:r>
      <w:r>
        <w:rPr>
          <w:rFonts w:hint="eastAsia" w:ascii="仿宋_GB2312" w:hAnsi="仿宋_GB2312" w:eastAsia="仿宋_GB2312" w:cs="仿宋_GB2312"/>
          <w:b w:val="0"/>
          <w:bCs/>
          <w:sz w:val="32"/>
          <w:szCs w:val="32"/>
        </w:rPr>
        <w:t xml:space="preserve"> 凝聚经贸力量。 一是选树最美经贸人，做好典型引领</w:t>
      </w:r>
      <w:r>
        <w:rPr>
          <w:rFonts w:hint="eastAsia" w:ascii="仿宋_GB2312" w:hAnsi="仿宋_GB2312" w:eastAsia="仿宋_GB2312" w:cs="仿宋_GB2312"/>
          <w:b w:val="0"/>
          <w:bCs/>
          <w:sz w:val="32"/>
          <w:szCs w:val="32"/>
        </w:rPr>
        <w:t>，《这八位河北省教学名师，有你老师吗？》阅读量6476，《经贸学子从天安门走过，接受习大大检阅》阅读量5369。</w:t>
      </w:r>
      <w:r>
        <w:rPr>
          <w:rFonts w:hint="eastAsia" w:ascii="仿宋_GB2312" w:hAnsi="仿宋_GB2312" w:eastAsia="仿宋_GB2312" w:cs="仿宋_GB2312"/>
          <w:b w:val="0"/>
          <w:bCs/>
          <w:sz w:val="32"/>
          <w:szCs w:val="32"/>
        </w:rPr>
        <w:t>二是展现优良校风班风学风</w:t>
      </w:r>
      <w:r>
        <w:rPr>
          <w:rFonts w:hint="eastAsia" w:ascii="仿宋_GB2312" w:hAnsi="仿宋_GB2312" w:eastAsia="仿宋_GB2312" w:cs="仿宋_GB2312"/>
          <w:b w:val="0"/>
          <w:bCs/>
          <w:sz w:val="32"/>
          <w:szCs w:val="32"/>
        </w:rPr>
        <w:t>，《今天，为你揭开女生宿舍的神秘面纱》阅读量4783。</w:t>
      </w:r>
      <w:r>
        <w:rPr>
          <w:rFonts w:hint="eastAsia" w:ascii="仿宋_GB2312" w:hAnsi="仿宋_GB2312" w:eastAsia="仿宋_GB2312" w:cs="仿宋_GB2312"/>
          <w:b w:val="0"/>
          <w:bCs/>
          <w:sz w:val="32"/>
          <w:szCs w:val="32"/>
        </w:rPr>
        <w:t>三是凝聚校友力量</w:t>
      </w:r>
      <w:r>
        <w:rPr>
          <w:rFonts w:hint="eastAsia" w:ascii="仿宋_GB2312" w:hAnsi="仿宋_GB2312" w:eastAsia="仿宋_GB2312" w:cs="仿宋_GB2312"/>
          <w:b w:val="0"/>
          <w:bCs/>
          <w:sz w:val="32"/>
          <w:szCs w:val="32"/>
        </w:rPr>
        <w:t>，《64岁生日快乐，河北经贸大学》阅读量13915，校友留言200余条，洋溢着对母校满满的爱。</w:t>
      </w:r>
      <w:r>
        <w:rPr>
          <w:rFonts w:hint="eastAsia" w:ascii="仿宋_GB2312" w:hAnsi="仿宋_GB2312" w:eastAsia="仿宋_GB2312" w:cs="仿宋_GB2312"/>
          <w:b w:val="0"/>
          <w:bCs/>
          <w:sz w:val="32"/>
          <w:szCs w:val="32"/>
        </w:rPr>
        <w:t xml:space="preserve"> </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textAlignment w:val="auto"/>
        <w:outlineLvl w:val="9"/>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 xml:space="preserve">   </w:t>
      </w:r>
      <w:r>
        <w:rPr>
          <w:rFonts w:hint="eastAsia" w:ascii="仿宋_GB2312" w:hAnsi="仿宋_GB2312" w:eastAsia="仿宋_GB2312" w:cs="仿宋_GB2312"/>
          <w:b w:val="0"/>
          <w:bCs/>
          <w:sz w:val="32"/>
          <w:szCs w:val="32"/>
        </w:rPr>
        <w:t>（五）全媒体宣传亮点纷呈 不断擦亮经贸品牌</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校报出版13期，深度报道有声有色。广播台播报各类专题节目500余期，增开《微微一笑》《影视配音》、《读诗》、《讲故事》栏目，专题类音频《记录中国》、《微微一笑》在十六届全国高校广播（电视）宣传工作研讨会上分获一、二等奖。</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全年对外宣传稿件100余篇，名列省内高校前茅</w:t>
      </w:r>
      <w:r>
        <w:rPr>
          <w:rFonts w:hint="eastAsia" w:ascii="仿宋_GB2312" w:hAnsi="仿宋_GB2312" w:eastAsia="仿宋_GB2312" w:cs="仿宋_GB2312"/>
          <w:b w:val="0"/>
          <w:bCs/>
          <w:sz w:val="32"/>
          <w:szCs w:val="32"/>
        </w:rPr>
        <w:t>，中国教育报等纸媒稿件17篇，河北新闻网、长城网等网络稿件70篇，河北教育发布、共青团中央官微等新媒体稿件9篇，河北电视台等视频稿件7篇，全方位宣传了学校特色亮点工作，擦亮了经贸品牌。</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（六）法制工作成效显著</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全年审查合同100余份，为校领导和各部门决策做好法律助手和参谋，积极应诉有效维护学校合法权益。努力培育校园法制文化，抓好3</w:t>
      </w:r>
      <w:r>
        <w:rPr>
          <w:rFonts w:hint="eastAsia" w:ascii="仿宋_GB2312" w:hAnsi="仿宋_GB2312" w:eastAsia="仿宋_GB2312" w:cs="仿宋_GB2312"/>
          <w:b w:val="0"/>
          <w:bCs/>
          <w:sz w:val="32"/>
          <w:szCs w:val="32"/>
        </w:rPr>
        <w:t>•</w:t>
      </w:r>
      <w:r>
        <w:rPr>
          <w:rFonts w:hint="eastAsia" w:ascii="仿宋_GB2312" w:hAnsi="仿宋_GB2312" w:eastAsia="仿宋_GB2312" w:cs="仿宋_GB2312"/>
          <w:b w:val="0"/>
          <w:bCs/>
          <w:sz w:val="32"/>
          <w:szCs w:val="32"/>
        </w:rPr>
        <w:t>15、12</w:t>
      </w:r>
      <w:r>
        <w:rPr>
          <w:rFonts w:hint="eastAsia" w:ascii="仿宋_GB2312" w:hAnsi="仿宋_GB2312" w:eastAsia="仿宋_GB2312" w:cs="仿宋_GB2312"/>
          <w:b w:val="0"/>
          <w:bCs/>
          <w:sz w:val="32"/>
          <w:szCs w:val="32"/>
        </w:rPr>
        <w:t>•</w:t>
      </w:r>
      <w:r>
        <w:rPr>
          <w:rFonts w:hint="eastAsia" w:ascii="仿宋_GB2312" w:hAnsi="仿宋_GB2312" w:eastAsia="仿宋_GB2312" w:cs="仿宋_GB2312"/>
          <w:b w:val="0"/>
          <w:bCs/>
          <w:sz w:val="32"/>
          <w:szCs w:val="32"/>
        </w:rPr>
        <w:t xml:space="preserve">4等法制宣传工作节点，积极营造普法氛围，通过多种方式丰富校园法制宣传，引领广大师生尊法、信法、守法、用法。       </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textAlignment w:val="auto"/>
        <w:outlineLvl w:val="9"/>
        <w:rPr>
          <w:rFonts w:hint="eastAsia" w:ascii="黑体" w:hAnsi="黑体" w:eastAsia="黑体" w:cs="黑体"/>
          <w:b w:val="0"/>
          <w:bCs/>
          <w:sz w:val="32"/>
          <w:szCs w:val="32"/>
        </w:rPr>
      </w:pPr>
      <w:r>
        <w:rPr>
          <w:rFonts w:hint="eastAsia" w:ascii="仿宋_GB2312" w:hAnsi="仿宋_GB2312" w:eastAsia="仿宋_GB2312" w:cs="仿宋_GB2312"/>
          <w:b w:val="0"/>
          <w:bCs/>
          <w:sz w:val="32"/>
          <w:szCs w:val="32"/>
        </w:rPr>
        <w:t xml:space="preserve">    </w:t>
      </w:r>
      <w:bookmarkStart w:id="0" w:name="_GoBack"/>
      <w:r>
        <w:rPr>
          <w:rFonts w:hint="eastAsia" w:ascii="黑体" w:hAnsi="黑体" w:eastAsia="黑体" w:cs="黑体"/>
          <w:b w:val="0"/>
          <w:bCs/>
          <w:sz w:val="32"/>
          <w:szCs w:val="32"/>
        </w:rPr>
        <w:t>三、以新作风对标新要求</w:t>
      </w:r>
    </w:p>
    <w:bookmarkEnd w:id="0"/>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5"/>
        <w:textAlignment w:val="auto"/>
        <w:outlineLvl w:val="9"/>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牢固树立“四个意识”，坚定“四个自信”，在政治上、思想上、工作上严守纪律和规矩，认真落实中央八项规定精神，坚持不懈反对“四风”，把廉政建设贯穿于日常工作始终。严格按照从严治党新要求认真履行岗位职责，带领部门全体党员激情工作、热心奉献。日常工作和生活中，注意自身言行，重自律、重品行，带头营造风清气正的工作环境。</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5"/>
        <w:textAlignment w:val="auto"/>
        <w:outlineLvl w:val="9"/>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回顾一年的工作，虽然我尽心尽力，并取得了一定的成绩，但由于主客观原因，自己在工作学习等方面还存在理论学习不够深，工作中有急躁情绪等缺点和不足。今后，我将努力克服不足，加强理论学习，时刻用新理念武装自己，更好推进各项工作。真诚感谢各位领导、同志们一直以来对我的关心、支持和帮助！以上述职，不当之处，敬请各位领导和同志们批评指正。</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A00002EF" w:usb1="4000004B" w:usb2="00000000" w:usb3="00000000" w:csb0="2000009F" w:csb1="00000000"/>
  </w:font>
  <w:font w:name="Calibri">
    <w:panose1 w:val="020F0502020204030204"/>
    <w:charset w:val="00"/>
    <w:family w:val="swiss"/>
    <w:pitch w:val="default"/>
    <w:sig w:usb0="A00002EF" w:usb1="4000207B" w:usb2="00000000" w:usb3="00000000" w:csb0="2000009F" w:csb1="00000000"/>
  </w:font>
  <w:font w:name="仿宋_GB2312">
    <w:panose1 w:val="02010609030101010101"/>
    <w:charset w:val="86"/>
    <w:family w:val="modern"/>
    <w:pitch w:val="default"/>
    <w:sig w:usb0="00000001" w:usb1="080E0000" w:usb2="00000000" w:usb3="00000000" w:csb0="00040000" w:csb1="00000000"/>
  </w:font>
  <w:font w:name="楷体">
    <w:altName w:val="楷体_GB2312"/>
    <w:panose1 w:val="02010609060101010101"/>
    <w:charset w:val="86"/>
    <w:family w:val="modern"/>
    <w:pitch w:val="default"/>
    <w:sig w:usb0="00000000" w:usb1="00000000" w:usb2="00000016" w:usb3="00000000" w:csb0="00040001" w:csb1="00000000"/>
  </w:font>
  <w:font w:name="楷体_GB2312">
    <w:panose1 w:val="02010609030101010101"/>
    <w:charset w:val="86"/>
    <w:family w:val="auto"/>
    <w:pitch w:val="default"/>
    <w:sig w:usb0="00000001" w:usb1="080E0000" w:usb2="00000000" w:usb3="00000000" w:csb0="00040000" w:csb1="00000000"/>
  </w:font>
  <w:font w:name="Arial">
    <w:panose1 w:val="020B0604020202020204"/>
    <w:charset w:val="00"/>
    <w:family w:val="auto"/>
    <w:pitch w:val="default"/>
    <w:sig w:usb0="00007A87" w:usb1="80000000" w:usb2="00000008" w:usb3="00000000" w:csb0="400001FF" w:csb1="FFFF0000"/>
  </w:font>
  <w:font w:name="方正小标宋简体">
    <w:panose1 w:val="03000509000000000000"/>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C537A"/>
    <w:rsid w:val="000243DB"/>
    <w:rsid w:val="00043AE8"/>
    <w:rsid w:val="0006149C"/>
    <w:rsid w:val="0011632C"/>
    <w:rsid w:val="001431ED"/>
    <w:rsid w:val="00251328"/>
    <w:rsid w:val="002874E6"/>
    <w:rsid w:val="003D26E1"/>
    <w:rsid w:val="003D612D"/>
    <w:rsid w:val="00401DE1"/>
    <w:rsid w:val="00437A7B"/>
    <w:rsid w:val="004726AE"/>
    <w:rsid w:val="004E2089"/>
    <w:rsid w:val="004F4EF1"/>
    <w:rsid w:val="005A26F2"/>
    <w:rsid w:val="005F48E1"/>
    <w:rsid w:val="00617077"/>
    <w:rsid w:val="006603F0"/>
    <w:rsid w:val="00690D2E"/>
    <w:rsid w:val="006B16C2"/>
    <w:rsid w:val="006D2021"/>
    <w:rsid w:val="00733A9D"/>
    <w:rsid w:val="00783DE8"/>
    <w:rsid w:val="00824020"/>
    <w:rsid w:val="008A6118"/>
    <w:rsid w:val="008D2679"/>
    <w:rsid w:val="00921BCB"/>
    <w:rsid w:val="00922CFF"/>
    <w:rsid w:val="00987888"/>
    <w:rsid w:val="009C1BB4"/>
    <w:rsid w:val="009C537A"/>
    <w:rsid w:val="00A250E2"/>
    <w:rsid w:val="00AD1295"/>
    <w:rsid w:val="00AE6853"/>
    <w:rsid w:val="00B533AF"/>
    <w:rsid w:val="00B933FD"/>
    <w:rsid w:val="00B9712B"/>
    <w:rsid w:val="00BD0FF1"/>
    <w:rsid w:val="00CB1001"/>
    <w:rsid w:val="00CD65A4"/>
    <w:rsid w:val="00D8190E"/>
    <w:rsid w:val="00D92CB1"/>
    <w:rsid w:val="00DB55E1"/>
    <w:rsid w:val="00DF0C55"/>
    <w:rsid w:val="00E467A1"/>
    <w:rsid w:val="00F362DC"/>
    <w:rsid w:val="00F86530"/>
    <w:rsid w:val="00FE6146"/>
    <w:rsid w:val="03E642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unhideWhenUsed/>
    <w:uiPriority w:val="1"/>
  </w:style>
  <w:style w:type="table" w:default="1" w:styleId="5">
    <w:name w:val="Normal Table"/>
    <w:unhideWhenUsed/>
    <w:uiPriority w:val="99"/>
    <w:tblPr>
      <w:tblLayout w:type="fixed"/>
      <w:tblCellMar>
        <w:top w:w="0" w:type="dxa"/>
        <w:left w:w="108" w:type="dxa"/>
        <w:bottom w:w="0" w:type="dxa"/>
        <w:right w:w="108" w:type="dxa"/>
      </w:tblCellMar>
    </w:tblPr>
  </w:style>
  <w:style w:type="paragraph" w:styleId="2">
    <w:name w:val="footer"/>
    <w:basedOn w:val="1"/>
    <w:link w:val="7"/>
    <w:unhideWhenUsed/>
    <w:uiPriority w:val="99"/>
    <w:pPr>
      <w:tabs>
        <w:tab w:val="center" w:pos="4153"/>
        <w:tab w:val="right" w:pos="8306"/>
      </w:tabs>
      <w:snapToGrid w:val="0"/>
      <w:jc w:val="left"/>
    </w:pPr>
    <w:rPr>
      <w:sz w:val="18"/>
      <w:szCs w:val="18"/>
    </w:rPr>
  </w:style>
  <w:style w:type="paragraph" w:styleId="3">
    <w:name w:val="header"/>
    <w:basedOn w:val="1"/>
    <w:link w:val="6"/>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4"/>
    <w:link w:val="3"/>
    <w:uiPriority w:val="99"/>
    <w:rPr>
      <w:sz w:val="18"/>
      <w:szCs w:val="18"/>
    </w:rPr>
  </w:style>
  <w:style w:type="character" w:customStyle="1" w:styleId="7">
    <w:name w:val="页脚 Char"/>
    <w:basedOn w:val="4"/>
    <w:link w:val="2"/>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5</Pages>
  <Words>391</Words>
  <Characters>2235</Characters>
  <Lines>18</Lines>
  <Paragraphs>5</Paragraphs>
  <TotalTime>0</TotalTime>
  <ScaleCrop>false</ScaleCrop>
  <LinksUpToDate>false</LinksUpToDate>
  <CharactersWithSpaces>2621</CharactersWithSpaces>
  <Application>WPS Office_10.1.0.7023_F1E327BC-269C-435d-A152-05C5408002CA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2017-12-19T00:23:00Z</dcterms:created>
  <dc:creator>樊亚宾</dc:creator>
  <cp:lastModifiedBy>l</cp:lastModifiedBy>
  <dcterms:modified xsi:type="dcterms:W3CDTF">2017-12-25T08:22:49Z</dcterms:modified>
  <cp:revision>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2052-10.1.0.7023</vt:lpwstr>
  </property>
</Properties>
</file>