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eastAsia="方正小标宋简体"/>
          <w:sz w:val="36"/>
          <w:szCs w:val="36"/>
        </w:rPr>
      </w:pPr>
      <w:r>
        <w:rPr>
          <w:rFonts w:hint="eastAsia" w:ascii="方正小标宋简体" w:eastAsia="方正小标宋简体"/>
          <w:sz w:val="36"/>
          <w:szCs w:val="36"/>
          <w:lang w:val="en-US" w:eastAsia="zh-CN"/>
        </w:rPr>
        <w:t>2017年度</w:t>
      </w:r>
      <w:r>
        <w:rPr>
          <w:rFonts w:hint="eastAsia" w:ascii="方正小标宋简体" w:eastAsia="方正小标宋简体"/>
          <w:sz w:val="36"/>
          <w:szCs w:val="36"/>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sz w:val="32"/>
          <w:szCs w:val="32"/>
        </w:rPr>
      </w:pPr>
      <w:r>
        <w:rPr>
          <w:rFonts w:hint="eastAsia" w:ascii="仿宋_GB2312" w:eastAsia="仿宋_GB2312"/>
          <w:sz w:val="32"/>
          <w:szCs w:val="32"/>
        </w:rPr>
        <w:t xml:space="preserve"> </w:t>
      </w:r>
      <w:r>
        <w:rPr>
          <w:rFonts w:hint="eastAsia" w:ascii="楷体_GB2312" w:hAnsi="楷体_GB2312" w:eastAsia="楷体_GB2312" w:cs="楷体_GB2312"/>
          <w:sz w:val="32"/>
          <w:szCs w:val="32"/>
        </w:rPr>
        <w:t>祃海霞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2017年2月担任教学评估与教师教学发展中心主任，负责全面工作。在领导和班子成员、各科室的鼎力支持下，较好地完成了各项工作任务。按照校党委《关于关于做好20</w:t>
      </w:r>
      <w:r>
        <w:rPr>
          <w:rFonts w:ascii="仿宋_GB2312" w:eastAsia="仿宋_GB2312"/>
          <w:sz w:val="32"/>
          <w:szCs w:val="32"/>
        </w:rPr>
        <w:t>17</w:t>
      </w:r>
      <w:r>
        <w:rPr>
          <w:rFonts w:hint="eastAsia" w:ascii="仿宋_GB2312" w:eastAsia="仿宋_GB2312"/>
          <w:sz w:val="32"/>
          <w:szCs w:val="32"/>
        </w:rPr>
        <w:t>年度处级干部考核工作的通知》要求，现将201</w:t>
      </w:r>
      <w:r>
        <w:rPr>
          <w:rFonts w:ascii="仿宋_GB2312" w:eastAsia="仿宋_GB2312"/>
          <w:sz w:val="32"/>
          <w:szCs w:val="32"/>
        </w:rPr>
        <w:t>7</w:t>
      </w:r>
      <w:r>
        <w:rPr>
          <w:rFonts w:hint="eastAsia" w:ascii="仿宋_GB2312" w:eastAsia="仿宋_GB2312"/>
          <w:sz w:val="32"/>
          <w:szCs w:val="32"/>
        </w:rPr>
        <w:t>年履行职责情况</w:t>
      </w:r>
      <w:r>
        <w:rPr>
          <w:rFonts w:ascii="仿宋_GB2312" w:eastAsia="仿宋_GB2312"/>
          <w:sz w:val="32"/>
          <w:szCs w:val="32"/>
        </w:rPr>
        <w:t>报告</w:t>
      </w:r>
      <w:r>
        <w:rPr>
          <w:rFonts w:hint="eastAsia" w:ascii="仿宋_GB2312" w:eastAsia="仿宋_GB2312"/>
          <w:sz w:val="32"/>
          <w:szCs w:val="32"/>
        </w:rPr>
        <w:t>如下。</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黑体" w:hAnsi="黑体" w:eastAsia="黑体"/>
          <w:sz w:val="32"/>
          <w:szCs w:val="32"/>
        </w:rPr>
      </w:pPr>
      <w:r>
        <w:rPr>
          <w:rFonts w:hint="eastAsia" w:ascii="黑体" w:hAnsi="黑体" w:eastAsia="黑体"/>
          <w:sz w:val="32"/>
          <w:szCs w:val="32"/>
        </w:rPr>
        <w:t>一、德</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积极参加理论学习，认真学习习近平系列重要讲话和治国理政新理念新思想新战略，以习近平新时代中国特色社会主义思想为引领，贯彻实践科学发展观，严格执行党的路线、方针和政策，政治态度鲜明，立场坚定，在思想上、政治上和党中央保持一致。</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深入领会党和国家的教育方针政策，认真学习相关业务知识，增强工作能力。认真贯彻执行学校党委的方针、政策和决定，具有较强的党员意识、团结意识和大局意识。具有较强的事业心和责任心，围绕学校人才培养中心任务，紧扣教学评估整改</w:t>
      </w:r>
      <w:r>
        <w:rPr>
          <w:rFonts w:ascii="仿宋_GB2312" w:eastAsia="仿宋_GB2312"/>
          <w:sz w:val="32"/>
          <w:szCs w:val="32"/>
        </w:rPr>
        <w:t>、双一流建设</w:t>
      </w:r>
      <w:r>
        <w:rPr>
          <w:rFonts w:hint="eastAsia" w:ascii="仿宋_GB2312" w:eastAsia="仿宋_GB2312"/>
          <w:sz w:val="32"/>
          <w:szCs w:val="32"/>
        </w:rPr>
        <w:t>、</w:t>
      </w:r>
      <w:r>
        <w:rPr>
          <w:rFonts w:ascii="仿宋_GB2312" w:eastAsia="仿宋_GB2312"/>
          <w:sz w:val="32"/>
          <w:szCs w:val="32"/>
        </w:rPr>
        <w:t>博士单位</w:t>
      </w:r>
      <w:r>
        <w:rPr>
          <w:rFonts w:hint="eastAsia" w:ascii="仿宋_GB2312" w:eastAsia="仿宋_GB2312"/>
          <w:sz w:val="32"/>
          <w:szCs w:val="32"/>
        </w:rPr>
        <w:t>申报等</w:t>
      </w:r>
      <w:r>
        <w:rPr>
          <w:rFonts w:ascii="仿宋_GB2312" w:eastAsia="仿宋_GB2312"/>
          <w:sz w:val="32"/>
          <w:szCs w:val="32"/>
        </w:rPr>
        <w:t>重点</w:t>
      </w:r>
      <w:r>
        <w:rPr>
          <w:rFonts w:hint="eastAsia" w:ascii="仿宋_GB2312" w:eastAsia="仿宋_GB2312"/>
          <w:sz w:val="32"/>
          <w:szCs w:val="32"/>
        </w:rPr>
        <w:t>工作，图进步、谋发展，恪尽职守，甘于奉献，形成了比较顺畅的工作新局面。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作为中心党支部书记，密切联系群众，团结同志，真抓实干，细抓严管，严管</w:t>
      </w:r>
      <w:r>
        <w:rPr>
          <w:rFonts w:ascii="仿宋_GB2312" w:eastAsia="仿宋_GB2312"/>
          <w:sz w:val="32"/>
          <w:szCs w:val="32"/>
        </w:rPr>
        <w:t>与厚爱结合，激励和约束并重，</w:t>
      </w:r>
      <w:r>
        <w:rPr>
          <w:rFonts w:hint="eastAsia" w:ascii="仿宋_GB2312" w:eastAsia="仿宋_GB2312"/>
          <w:sz w:val="32"/>
          <w:szCs w:val="32"/>
        </w:rPr>
        <w:t>带领</w:t>
      </w:r>
      <w:r>
        <w:rPr>
          <w:rFonts w:ascii="仿宋_GB2312" w:eastAsia="仿宋_GB2312"/>
          <w:sz w:val="32"/>
          <w:szCs w:val="32"/>
        </w:rPr>
        <w:t>全体党员</w:t>
      </w:r>
      <w:r>
        <w:rPr>
          <w:rFonts w:hint="eastAsia" w:ascii="仿宋_GB2312" w:eastAsia="仿宋_GB2312"/>
          <w:sz w:val="32"/>
          <w:szCs w:val="32"/>
        </w:rPr>
        <w:t>改进了工作作风，增强了“四个意识”，提高了服务效能和工作水平。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黑体" w:hAnsi="黑体" w:eastAsia="黑体"/>
          <w:sz w:val="32"/>
          <w:szCs w:val="32"/>
        </w:rPr>
      </w:pPr>
      <w:r>
        <w:rPr>
          <w:rFonts w:hint="eastAsia" w:ascii="黑体" w:hAnsi="黑体" w:eastAsia="黑体"/>
          <w:sz w:val="32"/>
          <w:szCs w:val="32"/>
        </w:rPr>
        <w:t>二、能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在</w:t>
      </w:r>
      <w:r>
        <w:rPr>
          <w:rFonts w:ascii="仿宋_GB2312" w:eastAsia="仿宋_GB2312"/>
          <w:sz w:val="32"/>
          <w:szCs w:val="32"/>
        </w:rPr>
        <w:t>管理方面，</w:t>
      </w:r>
      <w:r>
        <w:rPr>
          <w:rFonts w:hint="eastAsia" w:ascii="仿宋_GB2312" w:eastAsia="仿宋_GB2312"/>
          <w:sz w:val="32"/>
          <w:szCs w:val="32"/>
        </w:rPr>
        <w:t>虚心向领导、同行和同事学习，加强自身业务理论修养，深刻理解新</w:t>
      </w:r>
      <w:r>
        <w:rPr>
          <w:rFonts w:ascii="仿宋_GB2312" w:eastAsia="仿宋_GB2312"/>
          <w:sz w:val="32"/>
          <w:szCs w:val="32"/>
        </w:rPr>
        <w:t>部门、</w:t>
      </w:r>
      <w:r>
        <w:rPr>
          <w:rFonts w:hint="eastAsia" w:ascii="仿宋_GB2312" w:eastAsia="仿宋_GB2312"/>
          <w:sz w:val="32"/>
          <w:szCs w:val="32"/>
        </w:rPr>
        <w:t>新岗位的</w:t>
      </w:r>
      <w:r>
        <w:rPr>
          <w:rFonts w:ascii="仿宋_GB2312" w:eastAsia="仿宋_GB2312"/>
          <w:sz w:val="32"/>
          <w:szCs w:val="32"/>
        </w:rPr>
        <w:t>工作</w:t>
      </w:r>
      <w:r>
        <w:rPr>
          <w:rFonts w:hint="eastAsia" w:ascii="仿宋_GB2312" w:eastAsia="仿宋_GB2312"/>
          <w:sz w:val="32"/>
          <w:szCs w:val="32"/>
        </w:rPr>
        <w:t>特点，系统</w:t>
      </w:r>
      <w:r>
        <w:rPr>
          <w:rFonts w:ascii="仿宋_GB2312" w:eastAsia="仿宋_GB2312"/>
          <w:sz w:val="32"/>
          <w:szCs w:val="32"/>
        </w:rPr>
        <w:t>谋划</w:t>
      </w:r>
      <w:r>
        <w:rPr>
          <w:rFonts w:hint="eastAsia" w:ascii="仿宋_GB2312" w:eastAsia="仿宋_GB2312"/>
          <w:sz w:val="32"/>
          <w:szCs w:val="32"/>
        </w:rPr>
        <w:t>中心布局</w:t>
      </w:r>
      <w:r>
        <w:rPr>
          <w:rFonts w:ascii="仿宋_GB2312" w:eastAsia="仿宋_GB2312"/>
          <w:sz w:val="32"/>
          <w:szCs w:val="32"/>
        </w:rPr>
        <w:t>和</w:t>
      </w:r>
      <w:r>
        <w:rPr>
          <w:rFonts w:hint="eastAsia" w:ascii="仿宋_GB2312" w:eastAsia="仿宋_GB2312"/>
          <w:sz w:val="32"/>
          <w:szCs w:val="32"/>
        </w:rPr>
        <w:t>工作</w:t>
      </w:r>
      <w:r>
        <w:rPr>
          <w:rFonts w:ascii="仿宋_GB2312" w:eastAsia="仿宋_GB2312"/>
          <w:sz w:val="32"/>
          <w:szCs w:val="32"/>
        </w:rPr>
        <w:t>重点</w:t>
      </w:r>
      <w:r>
        <w:rPr>
          <w:rFonts w:hint="eastAsia" w:ascii="仿宋_GB2312" w:eastAsia="仿宋_GB2312"/>
          <w:sz w:val="32"/>
          <w:szCs w:val="32"/>
        </w:rPr>
        <w:t>，对中心体制机制建立、发展方向和各项工作进行实践与探索。一年来，中心以</w:t>
      </w:r>
      <w:r>
        <w:rPr>
          <w:rFonts w:ascii="仿宋_GB2312" w:eastAsia="仿宋_GB2312"/>
          <w:sz w:val="32"/>
          <w:szCs w:val="32"/>
        </w:rPr>
        <w:t>“</w:t>
      </w:r>
      <w:r>
        <w:rPr>
          <w:rFonts w:hint="eastAsia" w:ascii="仿宋_GB2312" w:eastAsia="仿宋_GB2312"/>
          <w:sz w:val="32"/>
          <w:szCs w:val="32"/>
        </w:rPr>
        <w:t>服务至上</w:t>
      </w:r>
      <w:r>
        <w:rPr>
          <w:rFonts w:ascii="仿宋_GB2312" w:eastAsia="仿宋_GB2312"/>
          <w:sz w:val="32"/>
          <w:szCs w:val="32"/>
        </w:rPr>
        <w:t>”</w:t>
      </w:r>
      <w:r>
        <w:rPr>
          <w:rFonts w:hint="eastAsia" w:ascii="仿宋_GB2312" w:eastAsia="仿宋_GB2312"/>
          <w:sz w:val="32"/>
          <w:szCs w:val="32"/>
        </w:rPr>
        <w:t>为</w:t>
      </w:r>
      <w:r>
        <w:rPr>
          <w:rFonts w:ascii="仿宋_GB2312" w:eastAsia="仿宋_GB2312"/>
          <w:sz w:val="32"/>
          <w:szCs w:val="32"/>
        </w:rPr>
        <w:t>工作理念，</w:t>
      </w:r>
      <w:r>
        <w:rPr>
          <w:rFonts w:hint="eastAsia" w:ascii="仿宋_GB2312" w:eastAsia="仿宋_GB2312"/>
          <w:sz w:val="32"/>
          <w:szCs w:val="32"/>
        </w:rPr>
        <w:t>以</w:t>
      </w:r>
      <w:r>
        <w:rPr>
          <w:rFonts w:ascii="仿宋_GB2312" w:eastAsia="仿宋_GB2312"/>
          <w:sz w:val="32"/>
          <w:szCs w:val="32"/>
        </w:rPr>
        <w:t>“</w:t>
      </w:r>
      <w:r>
        <w:rPr>
          <w:rFonts w:hint="eastAsia" w:ascii="仿宋_GB2312" w:eastAsia="仿宋_GB2312"/>
          <w:sz w:val="32"/>
          <w:szCs w:val="32"/>
        </w:rPr>
        <w:t>评估服务</w:t>
      </w:r>
      <w:r>
        <w:rPr>
          <w:rFonts w:ascii="仿宋_GB2312" w:eastAsia="仿宋_GB2312"/>
          <w:sz w:val="32"/>
          <w:szCs w:val="32"/>
        </w:rPr>
        <w:t>、培训服务、数据服务”</w:t>
      </w:r>
      <w:r>
        <w:rPr>
          <w:rFonts w:hint="eastAsia" w:ascii="仿宋_GB2312" w:eastAsia="仿宋_GB2312"/>
          <w:sz w:val="32"/>
          <w:szCs w:val="32"/>
        </w:rPr>
        <w:t>工作</w:t>
      </w:r>
      <w:r>
        <w:rPr>
          <w:rFonts w:ascii="仿宋_GB2312" w:eastAsia="仿宋_GB2312"/>
          <w:sz w:val="32"/>
          <w:szCs w:val="32"/>
        </w:rPr>
        <w:t>愿景</w:t>
      </w:r>
      <w:r>
        <w:rPr>
          <w:rFonts w:hint="eastAsia" w:ascii="仿宋_GB2312" w:eastAsia="仿宋_GB2312"/>
          <w:sz w:val="32"/>
          <w:szCs w:val="32"/>
        </w:rPr>
        <w:t>为目标</w:t>
      </w:r>
      <w:r>
        <w:rPr>
          <w:rFonts w:ascii="仿宋_GB2312" w:eastAsia="仿宋_GB2312"/>
          <w:sz w:val="32"/>
          <w:szCs w:val="32"/>
        </w:rPr>
        <w:t>引领，</w:t>
      </w:r>
      <w:r>
        <w:rPr>
          <w:rFonts w:hint="eastAsia" w:ascii="仿宋_GB2312" w:eastAsia="仿宋_GB2312"/>
          <w:sz w:val="32"/>
          <w:szCs w:val="32"/>
        </w:rPr>
        <w:t>与各职能处室、各教学单位通力协作，创新管理思路和方法，勇于担当</w:t>
      </w:r>
      <w:r>
        <w:rPr>
          <w:rFonts w:ascii="仿宋_GB2312" w:eastAsia="仿宋_GB2312"/>
          <w:sz w:val="32"/>
          <w:szCs w:val="32"/>
        </w:rPr>
        <w:t>，</w:t>
      </w:r>
      <w:r>
        <w:rPr>
          <w:rFonts w:hint="eastAsia" w:ascii="仿宋_GB2312" w:eastAsia="仿宋_GB2312"/>
          <w:sz w:val="32"/>
          <w:szCs w:val="32"/>
        </w:rPr>
        <w:t>注重实效，逐步形成</w:t>
      </w:r>
      <w:r>
        <w:rPr>
          <w:rFonts w:ascii="仿宋_GB2312" w:eastAsia="仿宋_GB2312"/>
          <w:sz w:val="32"/>
          <w:szCs w:val="32"/>
        </w:rPr>
        <w:t>工作新局面</w:t>
      </w:r>
      <w:r>
        <w:rPr>
          <w:rFonts w:hint="eastAsia" w:ascii="仿宋_GB2312" w:eastAsia="仿宋_GB2312"/>
          <w:sz w:val="32"/>
          <w:szCs w:val="32"/>
        </w:rPr>
        <w:t>，个人的履职能力</w:t>
      </w:r>
      <w:r>
        <w:rPr>
          <w:rFonts w:ascii="仿宋_GB2312" w:eastAsia="仿宋_GB2312"/>
          <w:sz w:val="32"/>
          <w:szCs w:val="32"/>
        </w:rPr>
        <w:t>、</w:t>
      </w:r>
      <w:r>
        <w:rPr>
          <w:rFonts w:hint="eastAsia" w:ascii="仿宋_GB2312" w:eastAsia="仿宋_GB2312"/>
          <w:sz w:val="32"/>
          <w:szCs w:val="32"/>
        </w:rPr>
        <w:t>管理经验及管理水平也得到了提升。经多方谋划，2</w:t>
      </w:r>
      <w:r>
        <w:rPr>
          <w:rFonts w:ascii="仿宋_GB2312" w:eastAsia="仿宋_GB2312"/>
          <w:sz w:val="32"/>
          <w:szCs w:val="32"/>
        </w:rPr>
        <w:t>017</w:t>
      </w:r>
      <w:r>
        <w:rPr>
          <w:rFonts w:hint="eastAsia" w:ascii="仿宋_GB2312" w:eastAsia="仿宋_GB2312"/>
          <w:sz w:val="32"/>
          <w:szCs w:val="32"/>
        </w:rPr>
        <w:t>年接收博士学位人员2名。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在</w:t>
      </w:r>
      <w:r>
        <w:rPr>
          <w:rFonts w:ascii="仿宋_GB2312" w:eastAsia="仿宋_GB2312"/>
          <w:sz w:val="32"/>
          <w:szCs w:val="32"/>
        </w:rPr>
        <w:t>研究方面，</w:t>
      </w:r>
      <w:r>
        <w:rPr>
          <w:rFonts w:hint="eastAsia" w:ascii="仿宋_GB2312" w:eastAsia="仿宋_GB2312"/>
          <w:sz w:val="32"/>
          <w:szCs w:val="32"/>
        </w:rPr>
        <w:t>201</w:t>
      </w:r>
      <w:r>
        <w:rPr>
          <w:rFonts w:ascii="仿宋_GB2312" w:eastAsia="仿宋_GB2312"/>
          <w:sz w:val="32"/>
          <w:szCs w:val="32"/>
        </w:rPr>
        <w:t>7</w:t>
      </w:r>
      <w:r>
        <w:rPr>
          <w:rFonts w:hint="eastAsia" w:ascii="仿宋_GB2312" w:eastAsia="仿宋_GB2312"/>
          <w:sz w:val="32"/>
          <w:szCs w:val="32"/>
        </w:rPr>
        <w:t>年主持完成省教改项目1项，</w:t>
      </w:r>
      <w:r>
        <w:rPr>
          <w:rFonts w:ascii="仿宋_GB2312" w:eastAsia="仿宋_GB2312"/>
          <w:sz w:val="32"/>
          <w:szCs w:val="32"/>
        </w:rPr>
        <w:t>发表</w:t>
      </w:r>
      <w:r>
        <w:rPr>
          <w:rFonts w:hint="eastAsia" w:ascii="仿宋_GB2312" w:eastAsia="仿宋_GB2312"/>
          <w:sz w:val="32"/>
          <w:szCs w:val="32"/>
        </w:rPr>
        <w:t>EI检索</w:t>
      </w:r>
      <w:r>
        <w:rPr>
          <w:rFonts w:ascii="仿宋_GB2312" w:eastAsia="仿宋_GB2312"/>
          <w:sz w:val="32"/>
          <w:szCs w:val="32"/>
        </w:rPr>
        <w:t>论文</w:t>
      </w:r>
      <w:r>
        <w:rPr>
          <w:rFonts w:hint="eastAsia" w:ascii="仿宋_GB2312" w:eastAsia="仿宋_GB2312"/>
          <w:sz w:val="32"/>
          <w:szCs w:val="32"/>
        </w:rPr>
        <w:t>2篇</w:t>
      </w:r>
      <w:r>
        <w:rPr>
          <w:rFonts w:ascii="仿宋_GB2312" w:eastAsia="仿宋_GB2312"/>
          <w:sz w:val="32"/>
          <w:szCs w:val="32"/>
        </w:rPr>
        <w:t>，</w:t>
      </w:r>
      <w:r>
        <w:rPr>
          <w:rFonts w:hint="eastAsia" w:ascii="仿宋_GB2312" w:eastAsia="仿宋_GB2312"/>
          <w:sz w:val="32"/>
          <w:szCs w:val="32"/>
        </w:rPr>
        <w:t>参研</w:t>
      </w:r>
      <w:r>
        <w:rPr>
          <w:rFonts w:ascii="仿宋_GB2312" w:eastAsia="仿宋_GB2312"/>
          <w:sz w:val="32"/>
          <w:szCs w:val="32"/>
        </w:rPr>
        <w:t>成果</w:t>
      </w:r>
      <w:r>
        <w:rPr>
          <w:rFonts w:hint="eastAsia" w:ascii="仿宋_GB2312" w:eastAsia="仿宋_GB2312"/>
          <w:sz w:val="32"/>
          <w:szCs w:val="32"/>
        </w:rPr>
        <w:t>《高等财经类院校本科多元化人才培养模式研究》获省级教学成果一等奖。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在业务</w:t>
      </w:r>
      <w:r>
        <w:rPr>
          <w:rFonts w:ascii="仿宋_GB2312" w:eastAsia="仿宋_GB2312"/>
          <w:sz w:val="32"/>
          <w:szCs w:val="32"/>
        </w:rPr>
        <w:t>方面，</w:t>
      </w:r>
      <w:r>
        <w:rPr>
          <w:rFonts w:hint="eastAsia" w:ascii="仿宋_GB2312" w:eastAsia="仿宋_GB2312"/>
          <w:sz w:val="32"/>
          <w:szCs w:val="32"/>
        </w:rPr>
        <w:t>加强专业学习，努力提高自己的学科专业水平和教学能力。承担了《统计学》本科教学任务，效果良好，最近两次学生评教分别为全校第51名、校本部第23名。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充实了中心工作人员力量，保障了各项工作的顺利开展。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黑体" w:hAnsi="黑体" w:eastAsia="黑体"/>
          <w:sz w:val="32"/>
          <w:szCs w:val="32"/>
        </w:rPr>
      </w:pPr>
      <w:r>
        <w:rPr>
          <w:rFonts w:hint="eastAsia" w:ascii="黑体" w:hAnsi="黑体" w:eastAsia="黑体"/>
          <w:sz w:val="32"/>
          <w:szCs w:val="32"/>
        </w:rPr>
        <w:t>三、勤</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勤于思考、踏实做事、及时总结。爱岗敬业，工作勤恳，不计较个人得失，从大处着眼，小处着手，尽心尽力，服务师生，积极主动地做好各项工作。勇于开展自我批评，善于听取并认真采纳合理建议，作风民主。遵守工作纪律，坚守岗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黑体" w:hAnsi="黑体" w:eastAsia="黑体"/>
          <w:sz w:val="32"/>
          <w:szCs w:val="32"/>
        </w:rPr>
      </w:pPr>
      <w:r>
        <w:rPr>
          <w:rFonts w:hint="eastAsia" w:ascii="黑体" w:hAnsi="黑体" w:eastAsia="黑体"/>
          <w:sz w:val="32"/>
          <w:szCs w:val="32"/>
        </w:rPr>
        <w:t>四、廉</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仿宋_GB2312" w:eastAsia="仿宋_GB2312"/>
          <w:sz w:val="32"/>
          <w:szCs w:val="32"/>
        </w:rPr>
      </w:pPr>
      <w:r>
        <w:rPr>
          <w:rFonts w:hint="eastAsia" w:ascii="仿宋_GB2312" w:eastAsia="仿宋_GB2312"/>
          <w:sz w:val="32"/>
          <w:szCs w:val="32"/>
        </w:rPr>
        <w:t>认真学习有关政策和规定，严格执行财务纪律和规范，廉洁自律，勤俭办事。牢记“两个务必”，遵守党规党纪，自觉保持清正廉洁的优良作风，闻警自省，见贤思齐。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ascii="黑体" w:hAnsi="黑体" w:eastAsia="黑体"/>
          <w:sz w:val="32"/>
          <w:szCs w:val="32"/>
        </w:rPr>
      </w:pPr>
      <w:r>
        <w:rPr>
          <w:rFonts w:hint="eastAsia" w:ascii="黑体" w:hAnsi="黑体" w:eastAsia="黑体"/>
          <w:sz w:val="32"/>
          <w:szCs w:val="32"/>
        </w:rPr>
        <w:t>五、绩</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2017年主要完成了11项重要工作，即一流党建、评估服务、培训服务、数据服务“1254”。</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（一）以一流党建为契机，固本强基促建设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思践悟，知行合一。中心完善了每周例会和支部学习制度，领导班子主动加强理论学习，带领全体党员坚决贯彻落实党的十九大精神，以习近平新时代中国特色社会主义思想为统领，用习近平系列重要讲话精神武装头脑，指导实践，推动工作,做到学思践悟，知行合一。</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创一流党建，固本强基。中心党支部全面落实党的建设新要求，创新工作方式方法，不断提升党建工作的质量和水平。一是开展专题学习讨论。中心支部结合“三会一课”，多次组织“严肃工作纪律”“加强党风廉政建设”“模范遵守党章，贯彻落实两《准则》、两《条例》”“十九大报告辅导学习”“不忘初心、牢记使命”等专题学习，有针对性地开展讨论，帮助党员提高理论素养，增强政治定力，树牢“四个意识”，坚定“四个自信”，充分发挥党员在维护主流意识形态中的先锋模范作用，把理想信念的坚定性体现在做好本职工作的过程中。二是开展主题教育内部调研。不忘初心、牢记使命，找问题，定措施，改进工作方式方法。三是“十九大报告口袋书”随身带，随时学。中心为全体成员印发了十九大报告全文口袋书，通过随身携带，随时学习，随地交流，将十九大报告学习融入日常工作与生活。四是活动多样促提高。组织参加“不忘初心，砥砺奋进”书法比赛，通过十九大报告原文摘抄、书写心得体会等方式，用工整的字体书写对党和国家取得历史性进步的肯定与骄傲；组织“十九大知识问答”纸本测试和“党的十九大报告100题”在线测试比赛，营造学习氛围，巩固学习成果，夯实学习成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（二）以评估服务为抓手，精准把脉谋发展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1.组织评估整改工作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2016年10月，我校顺利完成了教育部本科教学审核评估工作，2017年进入评估整改的关键期。中心印发了《河北经贸大学本科教学审核评估整改工作方案》，召开了整改工作推进会，制定了责任单位整改任务清单，编写了整改报告模板，组织各单位撰写本部门的评估整改报告并汇编成册，拟定学校审核评估整改报告。</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2017年，中心参与接待了承德医学院、廊坊师范学院和河北科技师范学院等院校的考察调研，交流审核评估相关事宜。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2.做好专项评估调研与筹备工作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上半年，中心搜集了大量的专业评估文献资料，梳理总结了9个省（市）、29所高校本科专业评估的实施情况，形成15000多字的调查报告。2017年下半年，中心参加了对全校各教学单位的调研走访，组织人员赴南京理工大学和江南大学调研学习了专业评估、课程评估工作开展情况。在此基础上，结合学校实际拟定了由五个专题组成的专业评估指标体系，形成《河北经贸大学本科专业评估实施方案（初稿）》，提出专题式、项目制评估工作思路。</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（三）以培训服务为支撑，按需施训促提升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1.加强评估与培训工作制度建设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组织本部门人员外出调研及参会学习16次，共计31人次，吸纳教学评估与教师教学培训工作的先进理念和成功经验。为完善教学培训体系，推动高水平教师队伍建设，中心联合国际交流与合作处制定了《河北经贸大学关于加强教师教学发展培训工作的意见》，建立培训制度，规范培训项目，强化过程管理，加强保障措施，校院联动，按需施训，实现培训工作规范化、制度化和常态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2.完善新入职教师培训工作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在全面总结2016年新入职教师培训工作经验和不足的基础上，制定《2017年新入职教师培训计划》及实施方案。针对新入职教师数量多、学历高、科研任务重、教学经验少等特点，中心建立了教评教发中心微信群，制定考勤制度，加强培训过程管理，改进名师观摩形式，增加工作坊活动环节，培训效果得到显著提升。截至目前，新入职教师培训工作已全部完成，共举办各类培训专题15场，参训教师达1064人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3.培育校本培训品牌项目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以服务教师为本，想教师之所想，急教师之所急，为教师发展提供优质资源和高效便捷的服务。2017年中心共资助教师参加校外教学会议113人次、校外培训班137人次、校内培训交流1928人次（含新入职教师）、选派国内访学教师2人、选派教育部国培项目参训教师3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当前的教育教学热点，中心积极筹划，整合资源，逐步形成名家讲坛、教学沙龙、教学工作坊等品牌培训项目。2017年推送名家讲坛（网络直播讲座）83期，举办教学沙龙33场，教学工作坊8场，参与人员1533人次（含学生326人次）。学院主动承办教学沙龙的意识逐渐养成，教师参加培训交流的积极性日益增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4.完善在线学习平台建设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提高教师特别是中青年教师的业务水平和教学能力，中心制定了2017年教师网络培训课程计划，组织全体教师参加课程学习。2017年新增注册学员137人，报名课程数969门次，目前我校在线学习平台注册人数达689人，报名课程门数达2267门。为满足学科建设需要和教师个性化需求，中心从1400多门网络培训课程中精选了498门学科专业类课程，编制目录27类，深入各教学单位了解需求，推送资源。2017年共投入资金98950元，用于定制课程（64门）和购买课程学习卡（131 张）。</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中心自主开发的校内外培训报名系统运行良好，实现了线上线下培训活动自助报名。工作网站、微信公众号实时更新、即时推送，在教师中的关注度和影响度日益增强。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5.形成工作日志编写制度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中心自2016年起编写教师教学能力发展工作日志，积累提炼，总结提升，逐步形成内部工作制度。2017年编写了上半年、下半年教师教学能力发展工作日志各一册，并形成全年合订本。</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（四）以数据服务为保障，常态监测辅决策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1.开展教师教学发展问卷调查</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充分发挥中心的服务职能，为教师提供更具针对性的资源与服务，中心针对教师基本信息、教师教学情况、教师教学发展的组织机构与政策机制等方面开展了问卷调查，形成《教师教学自我认知与培训需求调查分析报告》，为完善和改进培训工作提供依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2.开展经管类专业学情调查工作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4月，中心对我校经管类专业三年级本科生开展了为期一个半月的学情调查，形成《河北经贸大学经管类专业学情调查报告（2017）》。本次调查旨在了解学生在大学期间对学校教育环境的感知、受到的挑战与激励、个体的努力程度以及成长与收获等信息，从而帮助学校了解所提供的资源、所出台的政策、所创造的学术环境对学生成长的支持程度以及需要改进的方向，为有关部门和学院在立足学生全面发展，完善学业支持体系，进一步提升教学、指导和服务工作水平，构建全员、全过程、全方位育人格局等方面提供翔实的数据参考和服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调查问卷涵盖学校教育环境、学生投入、学生成长与收获、专业与学校满意度、学生压力与毕业规划、 学生人口统计特征等六个维度。参与调查的学生有2452人，回收有效问卷2195份，覆盖29个经管类专业，问卷有效率为89.52%。</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3.完成本科教学基本状态数据采集与质量报告发布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组织实施了我校2017年本科教学基本状态数据采集工作，与各责任单位通力合作，按时保质保量完成了教育部数据平台81张表单的填报、复核和上传。通过挖掘现有的师资潜力，生师比等核心指标有了大幅提升，达到18.07:1。在此基础上，深度挖掘底层数据，形成2017年度本科教学基本状态数据报告，并对我校近三年的教学基本状态核心数据进行了对比分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编纂形成2017年度本科教学质量报告并向社会发布。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4.完善本科专业关键指标评价分析工作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通过对各普通本科专业的招生、流转和就业等关键指标数据进行多维度分析，形成37000多字的《河北经贸大学2017年度普通本科专业关键指标评价分析报告》，为学校和各教学单位提供数据服务。2017年分析报告的编制具有三个特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分析更具指向性。考虑到仅用第一志愿录取率、专业流转率、质量就业率3个指标，无法涵盖专业建设的方方面面，2017年分析报告的名称由《专业分析报告》调整为《专业关键指标分析报告》，聚焦关键指标，反映专业建设关键节点，具有更强指向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二是呈现方式更直观。2017年分析报告增加了专业流转率趋势图、质量就业率趋势图，表现形式更为生动、直观。</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指标及分析有所完善。（1）对流转系数做进一步完善补充。依据文件计算的流转系数，反映了某一专业流转后学生保有份额的变化，均为正数，数值越大代表学生流入趋势越大。例如，1.5表示流转后的学生保有份额是流转前的1.5倍，0.2表示流转后的学生保有份额是流转前的1/5。为了更直观地反映某专业流入（流出）学生的比例，2017年对流转系数公式做减1处理，数值有正有负，代表流入（流出）的学生份额。例如，（1.5-1=0.5）表示流入了50%的学生份额，（0.2-1=-0.8）表示流出了80%的学生份额。（2）增加录取调剂率指标。文件采用第一志愿录取率、专业流转率、质量就业率3个指标，权重分别为40%、10%、50%。为了更全面地反映招生录取情况，2017年在主报告里增加了录取调剂率指标数据，作为辅助说明。（3）丰富综合评价算法。为避免某一单项分值过高而对总分影响过大的情况，除按指标绝对数值进行常规综合评价外，2017年增加了排队计分算法，根据各关键指标绝对分值的名次对其进行二次赋值后，再参与综合得分计算。（4）体现学科群概念。对各专业的综合得分进行比较，除全校大排队外，2017年增加了学科群小排队，将全校专业按经管法类、理工类、文学类进行了细分，便于各专业从不同维度提高自我认知。</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bookmarkStart w:id="0" w:name="_GoBack"/>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一年来的工作中，我取得了一些收获但也存在很多需要改进提升的地方，如主动学习政治理论还有欠缺，专业学习深度还不够。在今后的工作中，针对艰巨的校内自我管理评审任务和不断出现的新情况、新问题，需要不断加强学习，多沟通、多交流，与其他同志共同努力，共同创造和谐向上的工作环境，创造性开展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50" w:firstLineChars="200"/>
        <w:textAlignment w:val="auto"/>
        <w:outlineLvl w:val="9"/>
        <w:rPr>
          <w:rFonts w:hint="eastAsia" w:ascii="仿宋_GB2312" w:hAnsi="仿宋_GB2312" w:eastAsia="仿宋_GB2312" w:cs="仿宋_GB2312"/>
          <w:b w:val="0"/>
          <w:bCs w:val="0"/>
          <w:sz w:val="32"/>
          <w:szCs w:val="32"/>
        </w:rPr>
      </w:pPr>
    </w:p>
    <w:sectPr>
      <w:headerReference r:id="rId3" w:type="default"/>
      <w:footerReference r:id="rId4" w:type="default"/>
      <w:footerReference r:id="rId5" w:type="even"/>
      <w:pgSz w:w="11906" w:h="16838"/>
      <w:pgMar w:top="1389" w:right="1588" w:bottom="1389" w:left="1588" w:header="851" w:footer="992" w:gutter="0"/>
      <w:cols w:space="720" w:num="1"/>
      <w:docGrid w:type="linesAndChars" w:linePitch="335" w:charSpace="12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11</w:t>
    </w:r>
    <w:r>
      <w:rPr>
        <w:rStyle w:val="4"/>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15</w:t>
    </w:r>
    <w:r>
      <w:rPr>
        <w:rStyle w:val="4"/>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8"/>
  <w:drawingGridVerticalSpacing w:val="3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7B1A"/>
    <w:rsid w:val="00072CB4"/>
    <w:rsid w:val="00093E2A"/>
    <w:rsid w:val="000A7257"/>
    <w:rsid w:val="000C66D6"/>
    <w:rsid w:val="000E1F92"/>
    <w:rsid w:val="00112C67"/>
    <w:rsid w:val="00122721"/>
    <w:rsid w:val="00173176"/>
    <w:rsid w:val="00175FFF"/>
    <w:rsid w:val="00194FC8"/>
    <w:rsid w:val="001B3326"/>
    <w:rsid w:val="001C0B50"/>
    <w:rsid w:val="001D1EF5"/>
    <w:rsid w:val="001D29D2"/>
    <w:rsid w:val="001E0AA8"/>
    <w:rsid w:val="001F09B1"/>
    <w:rsid w:val="001F24DD"/>
    <w:rsid w:val="001F3C79"/>
    <w:rsid w:val="001F6FDF"/>
    <w:rsid w:val="00207A56"/>
    <w:rsid w:val="00214C3B"/>
    <w:rsid w:val="002255DA"/>
    <w:rsid w:val="00227C3F"/>
    <w:rsid w:val="00251B30"/>
    <w:rsid w:val="00253EB8"/>
    <w:rsid w:val="00265CB2"/>
    <w:rsid w:val="00275685"/>
    <w:rsid w:val="002A78B1"/>
    <w:rsid w:val="0035578F"/>
    <w:rsid w:val="003A112A"/>
    <w:rsid w:val="00404FB9"/>
    <w:rsid w:val="00421F4D"/>
    <w:rsid w:val="00434C2D"/>
    <w:rsid w:val="0043588F"/>
    <w:rsid w:val="00437103"/>
    <w:rsid w:val="00443B4E"/>
    <w:rsid w:val="00452084"/>
    <w:rsid w:val="0045667D"/>
    <w:rsid w:val="00491CA3"/>
    <w:rsid w:val="004D30DB"/>
    <w:rsid w:val="004D4ABB"/>
    <w:rsid w:val="004E339F"/>
    <w:rsid w:val="00533879"/>
    <w:rsid w:val="0055704D"/>
    <w:rsid w:val="00567B1A"/>
    <w:rsid w:val="00591D63"/>
    <w:rsid w:val="005B3B7B"/>
    <w:rsid w:val="005C0B5B"/>
    <w:rsid w:val="00606C0D"/>
    <w:rsid w:val="00661038"/>
    <w:rsid w:val="00672A39"/>
    <w:rsid w:val="006B50A7"/>
    <w:rsid w:val="006D5D17"/>
    <w:rsid w:val="006D7715"/>
    <w:rsid w:val="006F2684"/>
    <w:rsid w:val="006F4B55"/>
    <w:rsid w:val="007239C0"/>
    <w:rsid w:val="00763DAC"/>
    <w:rsid w:val="007A60D4"/>
    <w:rsid w:val="00805C61"/>
    <w:rsid w:val="00810AE7"/>
    <w:rsid w:val="0082723E"/>
    <w:rsid w:val="00855576"/>
    <w:rsid w:val="00871ED0"/>
    <w:rsid w:val="00872CCC"/>
    <w:rsid w:val="008863D3"/>
    <w:rsid w:val="008A68E5"/>
    <w:rsid w:val="008B42FA"/>
    <w:rsid w:val="008B7087"/>
    <w:rsid w:val="008D64D3"/>
    <w:rsid w:val="008D767D"/>
    <w:rsid w:val="00964D83"/>
    <w:rsid w:val="00973DC5"/>
    <w:rsid w:val="00974209"/>
    <w:rsid w:val="0097776A"/>
    <w:rsid w:val="00993097"/>
    <w:rsid w:val="00A17D3D"/>
    <w:rsid w:val="00A22963"/>
    <w:rsid w:val="00A4562F"/>
    <w:rsid w:val="00A72941"/>
    <w:rsid w:val="00A75041"/>
    <w:rsid w:val="00A8599D"/>
    <w:rsid w:val="00AB6655"/>
    <w:rsid w:val="00AC0254"/>
    <w:rsid w:val="00AC7B9D"/>
    <w:rsid w:val="00AE3362"/>
    <w:rsid w:val="00B54D3C"/>
    <w:rsid w:val="00BB6A27"/>
    <w:rsid w:val="00BE6C42"/>
    <w:rsid w:val="00C0728C"/>
    <w:rsid w:val="00C07B1F"/>
    <w:rsid w:val="00C53187"/>
    <w:rsid w:val="00C639CA"/>
    <w:rsid w:val="00C91D87"/>
    <w:rsid w:val="00CB554C"/>
    <w:rsid w:val="00CF4B98"/>
    <w:rsid w:val="00D06394"/>
    <w:rsid w:val="00D36C1A"/>
    <w:rsid w:val="00D61C15"/>
    <w:rsid w:val="00D72570"/>
    <w:rsid w:val="00D77FBF"/>
    <w:rsid w:val="00D95899"/>
    <w:rsid w:val="00DA3876"/>
    <w:rsid w:val="00DB6CE5"/>
    <w:rsid w:val="00E0214E"/>
    <w:rsid w:val="00E11D5D"/>
    <w:rsid w:val="00E35E9B"/>
    <w:rsid w:val="00E37D46"/>
    <w:rsid w:val="00E61790"/>
    <w:rsid w:val="00E61C3B"/>
    <w:rsid w:val="00EA51DD"/>
    <w:rsid w:val="00EA7083"/>
    <w:rsid w:val="00EB35CD"/>
    <w:rsid w:val="00ED1229"/>
    <w:rsid w:val="00EE3AB3"/>
    <w:rsid w:val="00EF3564"/>
    <w:rsid w:val="00F571AB"/>
    <w:rsid w:val="00F64BD0"/>
    <w:rsid w:val="00FE1CC7"/>
    <w:rsid w:val="00FE61DC"/>
    <w:rsid w:val="00FF2E69"/>
    <w:rsid w:val="0AD83040"/>
    <w:rsid w:val="18491478"/>
    <w:rsid w:val="43B172DD"/>
    <w:rsid w:val="5930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kern w:val="0"/>
      <w:sz w:val="18"/>
      <w:szCs w:val="18"/>
    </w:rPr>
  </w:style>
  <w:style w:type="character" w:styleId="4">
    <w:name w:val="page number"/>
    <w:uiPriority w:val="99"/>
    <w:rPr>
      <w:rFonts w:cs="Times New Roman"/>
    </w:rPr>
  </w:style>
  <w:style w:type="character" w:customStyle="1" w:styleId="6">
    <w:name w:val="页脚 Char"/>
    <w:basedOn w:val="3"/>
    <w:link w:val="2"/>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823DAD-3E36-4DEE-88DC-E479858D9B2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764</Words>
  <Characters>4355</Characters>
  <Lines>36</Lines>
  <Paragraphs>10</Paragraphs>
  <ScaleCrop>false</ScaleCrop>
  <LinksUpToDate>false</LinksUpToDate>
  <CharactersWithSpaces>5109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2016-11-23T00:49:00Z</dcterms:created>
  <dc:creator>祃海霞</dc:creator>
  <cp:lastModifiedBy>l</cp:lastModifiedBy>
  <dcterms:modified xsi:type="dcterms:W3CDTF">2017-12-26T02:07:56Z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