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2017年度工作总结</w:t>
      </w:r>
    </w:p>
    <w:p>
      <w:pPr>
        <w:keepNext w:val="0"/>
        <w:keepLines w:val="0"/>
        <w:pageBreakBefore w:val="0"/>
        <w:kinsoku/>
        <w:wordWrap/>
        <w:overflowPunct/>
        <w:topLinePunct w:val="0"/>
        <w:autoSpaceDE/>
        <w:autoSpaceDN/>
        <w:bidi w:val="0"/>
        <w:adjustRightInd w:val="0"/>
        <w:spacing w:line="560" w:lineRule="exact"/>
        <w:ind w:right="0" w:rightChars="0"/>
        <w:jc w:val="center"/>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科研处</w:t>
      </w:r>
    </w:p>
    <w:p>
      <w:pPr>
        <w:keepNext w:val="0"/>
        <w:keepLines w:val="0"/>
        <w:pageBreakBefore w:val="0"/>
        <w:kinsoku/>
        <w:wordWrap/>
        <w:overflowPunct/>
        <w:topLinePunct w:val="0"/>
        <w:autoSpaceDE/>
        <w:autoSpaceDN/>
        <w:bidi w:val="0"/>
        <w:adjustRightIn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val="en-US" w:eastAsia="zh-CN"/>
        </w:rPr>
        <w:t>科研处班子的</w:t>
      </w:r>
      <w:r>
        <w:rPr>
          <w:rFonts w:hint="eastAsia" w:ascii="仿宋_GB2312" w:hAnsi="仿宋_GB2312" w:eastAsia="仿宋_GB2312" w:cs="仿宋_GB2312"/>
          <w:sz w:val="32"/>
          <w:szCs w:val="32"/>
        </w:rPr>
        <w:t>工作紧紧围绕特色鲜明、全国地方同类院校一流的教学研究型财经大学和“双一流”建设的战略目标，坚持以科研项目为抓手、高水平成果为重心，立足科研服务经济社会发展，服务我校教学、学科和人才培养，不断推动我校科研工作再上新台阶。经</w:t>
      </w:r>
      <w:r>
        <w:rPr>
          <w:rFonts w:hint="eastAsia" w:ascii="仿宋_GB2312" w:hAnsi="仿宋_GB2312" w:eastAsia="仿宋_GB2312" w:cs="仿宋_GB2312"/>
          <w:sz w:val="32"/>
          <w:szCs w:val="32"/>
          <w:lang w:val="en-US" w:eastAsia="zh-CN"/>
        </w:rPr>
        <w:t>科研处全体成员和</w:t>
      </w:r>
      <w:r>
        <w:rPr>
          <w:rFonts w:hint="eastAsia" w:ascii="仿宋_GB2312" w:hAnsi="仿宋_GB2312" w:eastAsia="仿宋_GB2312" w:cs="仿宋_GB2312"/>
          <w:sz w:val="32"/>
          <w:szCs w:val="32"/>
        </w:rPr>
        <w:t>全校教职工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共同努力，2017年度学校科研</w:t>
      </w:r>
      <w:r>
        <w:rPr>
          <w:rFonts w:hint="eastAsia" w:ascii="仿宋_GB2312" w:hAnsi="仿宋_GB2312" w:eastAsia="仿宋_GB2312" w:cs="仿宋_GB2312"/>
          <w:sz w:val="32"/>
          <w:szCs w:val="32"/>
          <w:lang w:val="en-US" w:eastAsia="zh-CN"/>
        </w:rPr>
        <w:t>工作主要从以下几方面展开</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eastAsia="zh-CN"/>
        </w:rPr>
        <w:t>、</w:t>
      </w:r>
      <w:r>
        <w:rPr>
          <w:rFonts w:hint="eastAsia" w:ascii="黑体" w:hAnsi="黑体" w:eastAsia="黑体" w:cs="黑体"/>
          <w:sz w:val="32"/>
          <w:szCs w:val="32"/>
        </w:rPr>
        <w:t>科研项目</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1.课题申报工作</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学校以国家基金项目申报工作为主要抓手，提前部署2018年度各级各类课题申报工作。我校在2017年4月份就召开了由校领导主持，各学院院长、副院长、科研骨干参加的科研工作会议，分析了过去一年取得的成绩与不足，部署新一年度的国家项目申报工作。此后科研处积极落实科研工作会议精神，深入二级学院与预申报教师进行座谈，倾听他们的需求与困难，并着手研究对应策略；邀请国家课题评审专家来校做讲座传授申报经验；组织校内专家进行第一轮评审，在提出具体修改意见的基础上，从申报课题中遴选出一批选题务实新颖、论述扎实充分，有代表性、创新性、竞争力的课题，邀请国家基金项目评委进行二次函审论证。截至目前，全校2017年度各类课题申报总数为461项，其中国家级课题申报了149项，教育部课题申报了25项，省部级课题申报198项，其他级别课题申报了89项，为我校2018年科研立项取得理想成绩打下了较好的基础。</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立项及经费。截至目前，全校获准承担各类课题191项，其中，国家社科基金年度项目4项,国家自然科学基金1项。另外，我校本年度河北省社科基金项目立项数、省软科学项目立项数课题立项数均居全省名列前茅。科研合同经费及到帐经费分别为1200.9204万元、861.6万元。</w:t>
      </w:r>
    </w:p>
    <w:p>
      <w:pPr>
        <w:adjustRightInd w:val="0"/>
        <w:snapToGrid w:val="0"/>
        <w:spacing w:line="360" w:lineRule="auto"/>
        <w:ind w:firstLine="640" w:firstLineChars="200"/>
        <w:rPr>
          <w:rFonts w:ascii="仿宋_GB2312" w:hAnsi="仿宋" w:eastAsia="仿宋_GB2312" w:cs="仿宋"/>
          <w:sz w:val="32"/>
          <w:szCs w:val="32"/>
        </w:rPr>
      </w:pPr>
    </w:p>
    <w:p>
      <w:pPr>
        <w:adjustRightInd w:val="0"/>
        <w:snapToGrid w:val="0"/>
        <w:spacing w:line="360" w:lineRule="auto"/>
        <w:ind w:firstLine="560" w:firstLineChars="200"/>
        <w:rPr>
          <w:rFonts w:hint="eastAsia" w:ascii="黑体" w:hAnsi="黑体" w:eastAsia="黑体" w:cs="黑体"/>
          <w:b w:val="0"/>
          <w:bCs/>
          <w:sz w:val="28"/>
          <w:szCs w:val="28"/>
        </w:rPr>
      </w:pPr>
      <w:r>
        <w:rPr>
          <w:rFonts w:hint="eastAsia" w:ascii="黑体" w:hAnsi="黑体" w:eastAsia="黑体" w:cs="黑体"/>
          <w:b w:val="0"/>
          <w:bCs/>
          <w:sz w:val="28"/>
          <w:szCs w:val="28"/>
        </w:rPr>
        <w:t>2017年度河北经贸大学承担的国家社会科学基金项目</w:t>
      </w:r>
    </w:p>
    <w:tbl>
      <w:tblPr>
        <w:tblStyle w:val="17"/>
        <w:tblW w:w="8778" w:type="dxa"/>
        <w:jc w:val="center"/>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6"/>
        <w:gridCol w:w="3828"/>
        <w:gridCol w:w="992"/>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56" w:type="dxa"/>
            <w:vAlign w:val="center"/>
          </w:tcPr>
          <w:p>
            <w:pPr>
              <w:adjustRightInd w:val="0"/>
              <w:snapToGrid w:val="0"/>
              <w:spacing w:line="360" w:lineRule="auto"/>
              <w:jc w:val="center"/>
              <w:rPr>
                <w:rFonts w:cs="Arial"/>
                <w:b/>
                <w:szCs w:val="21"/>
              </w:rPr>
            </w:pPr>
            <w:r>
              <w:rPr>
                <w:rFonts w:hint="eastAsia" w:cs="Arial"/>
                <w:b/>
                <w:szCs w:val="21"/>
              </w:rPr>
              <w:t>序号</w:t>
            </w:r>
          </w:p>
        </w:tc>
        <w:tc>
          <w:tcPr>
            <w:tcW w:w="3828" w:type="dxa"/>
            <w:vAlign w:val="center"/>
          </w:tcPr>
          <w:p>
            <w:pPr>
              <w:adjustRightInd w:val="0"/>
              <w:snapToGrid w:val="0"/>
              <w:spacing w:line="360" w:lineRule="auto"/>
              <w:ind w:firstLine="1476" w:firstLineChars="700"/>
              <w:rPr>
                <w:rFonts w:cs="Arial"/>
                <w:b/>
                <w:szCs w:val="21"/>
              </w:rPr>
            </w:pPr>
            <w:r>
              <w:rPr>
                <w:rFonts w:cs="Arial"/>
                <w:b/>
                <w:szCs w:val="21"/>
              </w:rPr>
              <w:t>项目名称</w:t>
            </w:r>
          </w:p>
        </w:tc>
        <w:tc>
          <w:tcPr>
            <w:tcW w:w="992" w:type="dxa"/>
            <w:vAlign w:val="center"/>
          </w:tcPr>
          <w:p>
            <w:pPr>
              <w:adjustRightInd w:val="0"/>
              <w:snapToGrid w:val="0"/>
              <w:spacing w:line="360" w:lineRule="auto"/>
              <w:jc w:val="center"/>
              <w:rPr>
                <w:rFonts w:cs="Arial"/>
                <w:b/>
                <w:szCs w:val="21"/>
              </w:rPr>
            </w:pPr>
            <w:r>
              <w:rPr>
                <w:rFonts w:hint="eastAsia" w:cs="Arial"/>
                <w:b/>
                <w:szCs w:val="21"/>
              </w:rPr>
              <w:t>负责</w:t>
            </w:r>
            <w:r>
              <w:rPr>
                <w:rFonts w:cs="Arial"/>
                <w:b/>
                <w:szCs w:val="21"/>
              </w:rPr>
              <w:t>人</w:t>
            </w:r>
          </w:p>
        </w:tc>
        <w:tc>
          <w:tcPr>
            <w:tcW w:w="1701" w:type="dxa"/>
            <w:vAlign w:val="center"/>
          </w:tcPr>
          <w:p>
            <w:pPr>
              <w:adjustRightInd w:val="0"/>
              <w:snapToGrid w:val="0"/>
              <w:spacing w:line="360" w:lineRule="auto"/>
              <w:ind w:firstLine="422" w:firstLineChars="200"/>
              <w:jc w:val="left"/>
              <w:rPr>
                <w:rFonts w:cs="Arial"/>
                <w:b/>
                <w:szCs w:val="21"/>
              </w:rPr>
            </w:pPr>
            <w:r>
              <w:rPr>
                <w:rFonts w:hint="eastAsia" w:cs="Arial"/>
                <w:b/>
                <w:szCs w:val="21"/>
              </w:rPr>
              <w:t>项目子类</w:t>
            </w:r>
          </w:p>
        </w:tc>
        <w:tc>
          <w:tcPr>
            <w:tcW w:w="1701" w:type="dxa"/>
            <w:vAlign w:val="center"/>
          </w:tcPr>
          <w:p>
            <w:pPr>
              <w:adjustRightInd w:val="0"/>
              <w:snapToGrid w:val="0"/>
              <w:spacing w:line="360" w:lineRule="auto"/>
              <w:ind w:firstLine="422" w:firstLineChars="200"/>
              <w:jc w:val="left"/>
              <w:rPr>
                <w:rFonts w:cs="Arial"/>
                <w:b/>
                <w:szCs w:val="21"/>
              </w:rPr>
            </w:pPr>
            <w:r>
              <w:rPr>
                <w:rFonts w:hint="eastAsia" w:cs="Arial"/>
                <w:b/>
                <w:szCs w:val="21"/>
              </w:rPr>
              <w:t>所属单位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41" w:hRule="atLeast"/>
          <w:jc w:val="center"/>
        </w:trPr>
        <w:tc>
          <w:tcPr>
            <w:tcW w:w="556" w:type="dxa"/>
            <w:vAlign w:val="center"/>
          </w:tcPr>
          <w:p>
            <w:pPr>
              <w:adjustRightInd w:val="0"/>
              <w:snapToGrid w:val="0"/>
              <w:spacing w:line="360" w:lineRule="auto"/>
              <w:ind w:firstLine="210" w:firstLineChars="100"/>
              <w:rPr>
                <w:rFonts w:cs="Arial"/>
                <w:szCs w:val="21"/>
              </w:rPr>
            </w:pPr>
            <w:r>
              <w:rPr>
                <w:rFonts w:hint="eastAsia" w:cs="Arial"/>
                <w:szCs w:val="21"/>
              </w:rPr>
              <w:t>1</w:t>
            </w:r>
          </w:p>
        </w:tc>
        <w:tc>
          <w:tcPr>
            <w:tcW w:w="3828" w:type="dxa"/>
            <w:vAlign w:val="center"/>
          </w:tcPr>
          <w:p>
            <w:pPr>
              <w:adjustRightInd w:val="0"/>
              <w:snapToGrid w:val="0"/>
              <w:spacing w:line="360" w:lineRule="auto"/>
              <w:jc w:val="left"/>
              <w:rPr>
                <w:rFonts w:cs="Arial"/>
                <w:szCs w:val="21"/>
              </w:rPr>
            </w:pPr>
            <w:r>
              <w:rPr>
                <w:rFonts w:hint="eastAsia" w:cs="Arial"/>
                <w:b w:val="0"/>
                <w:bCs w:val="0"/>
                <w:szCs w:val="21"/>
              </w:rPr>
              <w:t>创新视域下的马克思剩余价值理论研究</w:t>
            </w:r>
          </w:p>
        </w:tc>
        <w:tc>
          <w:tcPr>
            <w:tcW w:w="992" w:type="dxa"/>
            <w:vAlign w:val="center"/>
          </w:tcPr>
          <w:p>
            <w:pPr>
              <w:adjustRightInd w:val="0"/>
              <w:snapToGrid w:val="0"/>
              <w:spacing w:line="360" w:lineRule="auto"/>
              <w:jc w:val="center"/>
              <w:rPr>
                <w:rFonts w:cs="Arial"/>
                <w:szCs w:val="21"/>
              </w:rPr>
            </w:pPr>
            <w:r>
              <w:rPr>
                <w:rFonts w:hint="eastAsia" w:cs="Arial"/>
                <w:szCs w:val="21"/>
              </w:rPr>
              <w:t>武建奇</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重点</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校办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5" w:hRule="atLeast"/>
          <w:jc w:val="center"/>
        </w:trPr>
        <w:tc>
          <w:tcPr>
            <w:tcW w:w="556" w:type="dxa"/>
            <w:vAlign w:val="center"/>
          </w:tcPr>
          <w:p>
            <w:pPr>
              <w:adjustRightInd w:val="0"/>
              <w:snapToGrid w:val="0"/>
              <w:spacing w:line="360" w:lineRule="auto"/>
              <w:ind w:firstLine="210" w:firstLineChars="100"/>
              <w:rPr>
                <w:rFonts w:cs="Arial"/>
                <w:szCs w:val="21"/>
              </w:rPr>
            </w:pPr>
            <w:r>
              <w:rPr>
                <w:rFonts w:hint="eastAsia" w:cs="Arial"/>
                <w:szCs w:val="21"/>
              </w:rPr>
              <w:t>2</w:t>
            </w:r>
          </w:p>
        </w:tc>
        <w:tc>
          <w:tcPr>
            <w:tcW w:w="3828" w:type="dxa"/>
            <w:vAlign w:val="center"/>
          </w:tcPr>
          <w:p>
            <w:pPr>
              <w:adjustRightInd w:val="0"/>
              <w:snapToGrid w:val="0"/>
              <w:spacing w:line="360" w:lineRule="auto"/>
              <w:jc w:val="left"/>
              <w:rPr>
                <w:rFonts w:cs="Arial"/>
                <w:szCs w:val="21"/>
              </w:rPr>
            </w:pPr>
            <w:r>
              <w:rPr>
                <w:rFonts w:hint="eastAsia" w:cs="Arial"/>
                <w:szCs w:val="21"/>
              </w:rPr>
              <w:t>法伦理的精神哲学形态研究</w:t>
            </w:r>
          </w:p>
        </w:tc>
        <w:tc>
          <w:tcPr>
            <w:tcW w:w="992" w:type="dxa"/>
            <w:vAlign w:val="center"/>
          </w:tcPr>
          <w:p>
            <w:pPr>
              <w:adjustRightInd w:val="0"/>
              <w:snapToGrid w:val="0"/>
              <w:spacing w:line="360" w:lineRule="auto"/>
              <w:jc w:val="center"/>
              <w:rPr>
                <w:rFonts w:cs="Arial"/>
                <w:szCs w:val="21"/>
              </w:rPr>
            </w:pPr>
            <w:r>
              <w:rPr>
                <w:rFonts w:hint="eastAsia" w:cs="Arial"/>
                <w:szCs w:val="21"/>
              </w:rPr>
              <w:t>赵一强</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一般</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法学院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1" w:hRule="atLeast"/>
          <w:jc w:val="center"/>
        </w:trPr>
        <w:tc>
          <w:tcPr>
            <w:tcW w:w="556" w:type="dxa"/>
            <w:vAlign w:val="center"/>
          </w:tcPr>
          <w:p>
            <w:pPr>
              <w:adjustRightInd w:val="0"/>
              <w:snapToGrid w:val="0"/>
              <w:spacing w:line="360" w:lineRule="auto"/>
              <w:ind w:firstLine="210" w:firstLineChars="100"/>
              <w:rPr>
                <w:rFonts w:cs="Arial"/>
                <w:szCs w:val="21"/>
              </w:rPr>
            </w:pPr>
            <w:r>
              <w:rPr>
                <w:rFonts w:hint="eastAsia" w:cs="Arial"/>
                <w:szCs w:val="21"/>
              </w:rPr>
              <w:t>3</w:t>
            </w:r>
          </w:p>
        </w:tc>
        <w:tc>
          <w:tcPr>
            <w:tcW w:w="3828" w:type="dxa"/>
            <w:vAlign w:val="center"/>
          </w:tcPr>
          <w:p>
            <w:pPr>
              <w:adjustRightInd w:val="0"/>
              <w:snapToGrid w:val="0"/>
              <w:spacing w:line="360" w:lineRule="auto"/>
              <w:jc w:val="left"/>
              <w:rPr>
                <w:rFonts w:cs="Arial"/>
                <w:szCs w:val="21"/>
              </w:rPr>
            </w:pPr>
            <w:r>
              <w:rPr>
                <w:rFonts w:hint="eastAsia" w:cs="Arial"/>
                <w:szCs w:val="21"/>
              </w:rPr>
              <w:t>促进京津冀协同创新的地方政府间财政策略性互动机制研究</w:t>
            </w:r>
          </w:p>
        </w:tc>
        <w:tc>
          <w:tcPr>
            <w:tcW w:w="992" w:type="dxa"/>
            <w:vAlign w:val="center"/>
          </w:tcPr>
          <w:p>
            <w:pPr>
              <w:adjustRightInd w:val="0"/>
              <w:snapToGrid w:val="0"/>
              <w:spacing w:line="360" w:lineRule="auto"/>
              <w:jc w:val="center"/>
              <w:rPr>
                <w:rFonts w:cs="Arial"/>
                <w:szCs w:val="21"/>
              </w:rPr>
            </w:pPr>
            <w:r>
              <w:rPr>
                <w:rFonts w:hint="eastAsia" w:cs="Arial"/>
                <w:szCs w:val="21"/>
              </w:rPr>
              <w:t>王丽</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一般</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财税学院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1" w:hRule="atLeast"/>
          <w:jc w:val="center"/>
        </w:trPr>
        <w:tc>
          <w:tcPr>
            <w:tcW w:w="556" w:type="dxa"/>
            <w:vAlign w:val="center"/>
          </w:tcPr>
          <w:p>
            <w:pPr>
              <w:adjustRightInd w:val="0"/>
              <w:snapToGrid w:val="0"/>
              <w:spacing w:line="360" w:lineRule="auto"/>
              <w:ind w:firstLine="210" w:firstLineChars="100"/>
              <w:rPr>
                <w:rFonts w:cs="Arial"/>
                <w:szCs w:val="21"/>
              </w:rPr>
            </w:pPr>
            <w:r>
              <w:rPr>
                <w:rFonts w:hint="eastAsia" w:cs="Arial"/>
                <w:szCs w:val="21"/>
              </w:rPr>
              <w:t>4</w:t>
            </w:r>
          </w:p>
        </w:tc>
        <w:tc>
          <w:tcPr>
            <w:tcW w:w="3828" w:type="dxa"/>
            <w:vAlign w:val="center"/>
          </w:tcPr>
          <w:p>
            <w:pPr>
              <w:adjustRightInd w:val="0"/>
              <w:snapToGrid w:val="0"/>
              <w:spacing w:line="360" w:lineRule="auto"/>
              <w:jc w:val="left"/>
              <w:rPr>
                <w:rFonts w:cs="Arial"/>
                <w:szCs w:val="21"/>
              </w:rPr>
            </w:pPr>
            <w:r>
              <w:rPr>
                <w:rFonts w:hint="eastAsia" w:cs="Arial"/>
                <w:szCs w:val="21"/>
              </w:rPr>
              <w:t>风险投资异质性对企业创新的影响及可持续性发展机制研究</w:t>
            </w:r>
          </w:p>
        </w:tc>
        <w:tc>
          <w:tcPr>
            <w:tcW w:w="992" w:type="dxa"/>
            <w:vAlign w:val="center"/>
          </w:tcPr>
          <w:p>
            <w:pPr>
              <w:adjustRightInd w:val="0"/>
              <w:snapToGrid w:val="0"/>
              <w:spacing w:line="360" w:lineRule="auto"/>
              <w:jc w:val="center"/>
              <w:rPr>
                <w:rFonts w:cs="Arial"/>
                <w:szCs w:val="21"/>
              </w:rPr>
            </w:pPr>
            <w:r>
              <w:rPr>
                <w:rFonts w:hint="eastAsia" w:cs="Arial"/>
                <w:szCs w:val="21"/>
              </w:rPr>
              <w:t>李西文</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一般</w:t>
            </w:r>
          </w:p>
        </w:tc>
        <w:tc>
          <w:tcPr>
            <w:tcW w:w="1701" w:type="dxa"/>
            <w:vAlign w:val="center"/>
          </w:tcPr>
          <w:p>
            <w:pPr>
              <w:adjustRightInd w:val="0"/>
              <w:snapToGrid w:val="0"/>
              <w:spacing w:line="360" w:lineRule="auto"/>
              <w:ind w:firstLine="420" w:firstLineChars="200"/>
              <w:jc w:val="left"/>
              <w:rPr>
                <w:rFonts w:cs="Arial"/>
                <w:szCs w:val="21"/>
              </w:rPr>
            </w:pPr>
            <w:r>
              <w:rPr>
                <w:rFonts w:hint="eastAsia" w:cs="Arial"/>
                <w:szCs w:val="21"/>
              </w:rPr>
              <w:t>会计学院</w:t>
            </w:r>
          </w:p>
        </w:tc>
      </w:tr>
    </w:tbl>
    <w:p>
      <w:pPr>
        <w:adjustRightInd w:val="0"/>
        <w:snapToGrid w:val="0"/>
        <w:spacing w:line="360" w:lineRule="auto"/>
        <w:ind w:firstLine="562" w:firstLineChars="200"/>
        <w:jc w:val="center"/>
        <w:rPr>
          <w:rFonts w:eastAsia="黑体"/>
          <w:b/>
          <w:sz w:val="28"/>
          <w:szCs w:val="28"/>
        </w:rPr>
      </w:pPr>
      <w:r>
        <w:rPr>
          <w:rFonts w:hint="eastAsia" w:eastAsia="黑体"/>
          <w:b/>
          <w:sz w:val="28"/>
          <w:szCs w:val="28"/>
        </w:rPr>
        <w:t xml:space="preserve">  </w:t>
      </w:r>
    </w:p>
    <w:p>
      <w:pPr>
        <w:adjustRightInd w:val="0"/>
        <w:snapToGrid w:val="0"/>
        <w:spacing w:line="360" w:lineRule="auto"/>
        <w:ind w:firstLine="560" w:firstLineChars="200"/>
        <w:rPr>
          <w:rFonts w:eastAsia="黑体"/>
          <w:b w:val="0"/>
          <w:bCs/>
          <w:sz w:val="28"/>
          <w:szCs w:val="28"/>
        </w:rPr>
      </w:pPr>
      <w:r>
        <w:rPr>
          <w:rFonts w:eastAsia="黑体"/>
          <w:b w:val="0"/>
          <w:bCs/>
          <w:sz w:val="28"/>
          <w:szCs w:val="28"/>
        </w:rPr>
        <w:t>20</w:t>
      </w:r>
      <w:r>
        <w:rPr>
          <w:rFonts w:hint="eastAsia" w:eastAsia="黑体"/>
          <w:b w:val="0"/>
          <w:bCs/>
          <w:sz w:val="28"/>
          <w:szCs w:val="28"/>
        </w:rPr>
        <w:t>17</w:t>
      </w:r>
      <w:r>
        <w:rPr>
          <w:rFonts w:eastAsia="黑体"/>
          <w:b w:val="0"/>
          <w:bCs/>
          <w:sz w:val="28"/>
          <w:szCs w:val="28"/>
        </w:rPr>
        <w:t>年度</w:t>
      </w:r>
      <w:r>
        <w:rPr>
          <w:rFonts w:hint="eastAsia" w:eastAsia="黑体"/>
          <w:b w:val="0"/>
          <w:bCs/>
          <w:sz w:val="28"/>
          <w:szCs w:val="28"/>
        </w:rPr>
        <w:t>河北经贸大学</w:t>
      </w:r>
      <w:r>
        <w:rPr>
          <w:rFonts w:eastAsia="黑体"/>
          <w:b w:val="0"/>
          <w:bCs/>
          <w:sz w:val="28"/>
          <w:szCs w:val="28"/>
        </w:rPr>
        <w:t>承担的</w:t>
      </w:r>
      <w:r>
        <w:rPr>
          <w:rFonts w:hint="eastAsia" w:eastAsia="黑体"/>
          <w:b w:val="0"/>
          <w:bCs/>
          <w:sz w:val="28"/>
          <w:szCs w:val="28"/>
        </w:rPr>
        <w:t>国家自然科学基金</w:t>
      </w:r>
      <w:r>
        <w:rPr>
          <w:rFonts w:eastAsia="黑体"/>
          <w:b w:val="0"/>
          <w:bCs/>
          <w:sz w:val="28"/>
          <w:szCs w:val="28"/>
        </w:rPr>
        <w:t>项目</w:t>
      </w:r>
    </w:p>
    <w:tbl>
      <w:tblPr>
        <w:tblStyle w:val="17"/>
        <w:tblW w:w="8782" w:type="dxa"/>
        <w:jc w:val="center"/>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6"/>
        <w:gridCol w:w="3686"/>
        <w:gridCol w:w="992"/>
        <w:gridCol w:w="184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4" w:hRule="atLeast"/>
          <w:jc w:val="center"/>
        </w:trPr>
        <w:tc>
          <w:tcPr>
            <w:tcW w:w="556" w:type="dxa"/>
          </w:tcPr>
          <w:p>
            <w:pPr>
              <w:adjustRightInd w:val="0"/>
              <w:snapToGrid w:val="0"/>
              <w:spacing w:line="360" w:lineRule="auto"/>
              <w:jc w:val="center"/>
              <w:rPr>
                <w:rFonts w:cs="Arial"/>
                <w:b/>
                <w:szCs w:val="21"/>
              </w:rPr>
            </w:pPr>
            <w:r>
              <w:rPr>
                <w:rFonts w:hint="eastAsia" w:cs="Arial"/>
                <w:b/>
                <w:szCs w:val="21"/>
              </w:rPr>
              <w:t>序号</w:t>
            </w:r>
          </w:p>
        </w:tc>
        <w:tc>
          <w:tcPr>
            <w:tcW w:w="3686" w:type="dxa"/>
            <w:vAlign w:val="center"/>
          </w:tcPr>
          <w:p>
            <w:pPr>
              <w:adjustRightInd w:val="0"/>
              <w:snapToGrid w:val="0"/>
              <w:spacing w:line="360" w:lineRule="auto"/>
              <w:ind w:firstLine="1370" w:firstLineChars="650"/>
              <w:rPr>
                <w:rFonts w:cs="Arial"/>
                <w:b/>
                <w:szCs w:val="21"/>
              </w:rPr>
            </w:pPr>
            <w:r>
              <w:rPr>
                <w:rFonts w:cs="Arial"/>
                <w:b/>
                <w:szCs w:val="21"/>
              </w:rPr>
              <w:t>项目名称</w:t>
            </w:r>
          </w:p>
        </w:tc>
        <w:tc>
          <w:tcPr>
            <w:tcW w:w="992" w:type="dxa"/>
            <w:vAlign w:val="center"/>
          </w:tcPr>
          <w:p>
            <w:pPr>
              <w:adjustRightInd w:val="0"/>
              <w:snapToGrid w:val="0"/>
              <w:spacing w:line="360" w:lineRule="auto"/>
              <w:jc w:val="center"/>
              <w:rPr>
                <w:rFonts w:cs="Arial"/>
                <w:b/>
                <w:szCs w:val="21"/>
              </w:rPr>
            </w:pPr>
            <w:r>
              <w:rPr>
                <w:rFonts w:cs="Arial"/>
                <w:b/>
                <w:szCs w:val="21"/>
              </w:rPr>
              <w:t>负责人</w:t>
            </w:r>
          </w:p>
        </w:tc>
        <w:tc>
          <w:tcPr>
            <w:tcW w:w="1843" w:type="dxa"/>
            <w:vAlign w:val="center"/>
          </w:tcPr>
          <w:p>
            <w:pPr>
              <w:adjustRightInd w:val="0"/>
              <w:snapToGrid w:val="0"/>
              <w:spacing w:line="360" w:lineRule="auto"/>
              <w:ind w:firstLine="422" w:firstLineChars="200"/>
              <w:jc w:val="center"/>
              <w:rPr>
                <w:rFonts w:cs="Arial"/>
                <w:b/>
                <w:szCs w:val="21"/>
              </w:rPr>
            </w:pPr>
            <w:r>
              <w:rPr>
                <w:rFonts w:hint="eastAsia" w:cs="Arial"/>
                <w:b/>
                <w:szCs w:val="21"/>
              </w:rPr>
              <w:t>项目子类</w:t>
            </w:r>
          </w:p>
        </w:tc>
        <w:tc>
          <w:tcPr>
            <w:tcW w:w="1705" w:type="dxa"/>
            <w:vAlign w:val="center"/>
          </w:tcPr>
          <w:p>
            <w:pPr>
              <w:adjustRightInd w:val="0"/>
              <w:snapToGrid w:val="0"/>
              <w:spacing w:line="360" w:lineRule="auto"/>
              <w:ind w:firstLine="422" w:firstLineChars="200"/>
              <w:jc w:val="center"/>
              <w:rPr>
                <w:rFonts w:cs="Arial"/>
                <w:b/>
                <w:szCs w:val="21"/>
              </w:rPr>
            </w:pPr>
            <w:r>
              <w:rPr>
                <w:rFonts w:hint="eastAsia" w:cs="Arial"/>
                <w:b/>
                <w:szCs w:val="21"/>
              </w:rPr>
              <w:t>所属单位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5" w:hRule="atLeast"/>
          <w:jc w:val="center"/>
        </w:trPr>
        <w:tc>
          <w:tcPr>
            <w:tcW w:w="556" w:type="dxa"/>
            <w:vAlign w:val="center"/>
          </w:tcPr>
          <w:p>
            <w:pPr>
              <w:adjustRightInd w:val="0"/>
              <w:snapToGrid w:val="0"/>
              <w:spacing w:line="360" w:lineRule="auto"/>
              <w:ind w:firstLine="315" w:firstLineChars="150"/>
              <w:rPr>
                <w:rFonts w:cs="Arial"/>
                <w:szCs w:val="21"/>
              </w:rPr>
            </w:pPr>
            <w:r>
              <w:rPr>
                <w:rFonts w:hint="eastAsia" w:cs="Arial"/>
                <w:szCs w:val="21"/>
              </w:rPr>
              <w:t>1</w:t>
            </w:r>
          </w:p>
        </w:tc>
        <w:tc>
          <w:tcPr>
            <w:tcW w:w="3686" w:type="dxa"/>
            <w:vAlign w:val="center"/>
          </w:tcPr>
          <w:p>
            <w:pPr>
              <w:adjustRightInd w:val="0"/>
              <w:snapToGrid w:val="0"/>
              <w:spacing w:line="360" w:lineRule="auto"/>
              <w:rPr>
                <w:rFonts w:ascii="宋体" w:hAnsi="宋体" w:cs="Arial"/>
                <w:szCs w:val="21"/>
              </w:rPr>
            </w:pPr>
            <w:r>
              <w:rPr>
                <w:rFonts w:hint="eastAsia" w:cs="Arial"/>
                <w:szCs w:val="21"/>
              </w:rPr>
              <w:t>面向木质纤维素水解液脱毒的新型渗透汽化膜的制备及传质机理研究</w:t>
            </w:r>
          </w:p>
        </w:tc>
        <w:tc>
          <w:tcPr>
            <w:tcW w:w="992" w:type="dxa"/>
            <w:vAlign w:val="center"/>
          </w:tcPr>
          <w:p>
            <w:pPr>
              <w:widowControl/>
              <w:adjustRightInd w:val="0"/>
              <w:snapToGrid w:val="0"/>
              <w:spacing w:line="360" w:lineRule="auto"/>
              <w:ind w:firstLine="420" w:firstLineChars="200"/>
              <w:jc w:val="left"/>
              <w:textAlignment w:val="bottom"/>
              <w:rPr>
                <w:rFonts w:ascii="宋体" w:hAnsi="宋体" w:cs="宋体"/>
                <w:szCs w:val="21"/>
              </w:rPr>
            </w:pPr>
            <w:r>
              <w:rPr>
                <w:rFonts w:hint="eastAsia" w:ascii="宋体" w:hAnsi="宋体" w:cs="宋体"/>
                <w:kern w:val="0"/>
                <w:szCs w:val="21"/>
              </w:rPr>
              <w:t>李敬</w:t>
            </w:r>
          </w:p>
        </w:tc>
        <w:tc>
          <w:tcPr>
            <w:tcW w:w="1843" w:type="dxa"/>
            <w:vAlign w:val="center"/>
          </w:tcPr>
          <w:p>
            <w:pPr>
              <w:widowControl/>
              <w:adjustRightInd w:val="0"/>
              <w:snapToGrid w:val="0"/>
              <w:spacing w:line="360" w:lineRule="auto"/>
              <w:ind w:firstLine="420" w:firstLineChars="200"/>
              <w:jc w:val="left"/>
              <w:textAlignment w:val="bottom"/>
              <w:rPr>
                <w:rFonts w:ascii="Arial" w:hAnsi="Arial" w:cs="Arial"/>
                <w:kern w:val="0"/>
                <w:szCs w:val="21"/>
              </w:rPr>
            </w:pPr>
            <w:r>
              <w:rPr>
                <w:rFonts w:hint="eastAsia" w:ascii="Arial" w:hAnsi="Arial" w:cs="Arial"/>
                <w:kern w:val="0"/>
                <w:szCs w:val="21"/>
              </w:rPr>
              <w:t>青年科学基金</w:t>
            </w:r>
          </w:p>
        </w:tc>
        <w:tc>
          <w:tcPr>
            <w:tcW w:w="1705" w:type="dxa"/>
            <w:vAlign w:val="center"/>
          </w:tcPr>
          <w:p>
            <w:pPr>
              <w:adjustRightInd w:val="0"/>
              <w:snapToGrid w:val="0"/>
              <w:spacing w:line="360" w:lineRule="auto"/>
              <w:ind w:firstLine="420" w:firstLineChars="200"/>
              <w:rPr>
                <w:rFonts w:ascii="宋体" w:hAnsi="宋体" w:cs="宋体"/>
                <w:szCs w:val="21"/>
              </w:rPr>
            </w:pPr>
            <w:r>
              <w:rPr>
                <w:rFonts w:hint="eastAsia" w:ascii="宋体" w:hAnsi="宋体" w:cs="宋体"/>
                <w:szCs w:val="21"/>
              </w:rPr>
              <w:t>生工学院</w:t>
            </w:r>
          </w:p>
        </w:tc>
      </w:tr>
    </w:tbl>
    <w:p>
      <w:pPr>
        <w:adjustRightInd w:val="0"/>
        <w:snapToGrid w:val="0"/>
        <w:spacing w:line="360" w:lineRule="auto"/>
        <w:rPr>
          <w:b/>
          <w:sz w:val="28"/>
          <w:szCs w:val="28"/>
        </w:rPr>
      </w:pPr>
    </w:p>
    <w:p>
      <w:pPr>
        <w:adjustRightInd w:val="0"/>
        <w:snapToGrid w:val="0"/>
        <w:spacing w:line="360" w:lineRule="auto"/>
        <w:jc w:val="center"/>
        <w:rPr>
          <w:rFonts w:hint="eastAsia" w:ascii="黑体" w:hAnsi="黑体" w:eastAsia="黑体" w:cs="黑体"/>
          <w:b w:val="0"/>
          <w:bCs/>
          <w:sz w:val="28"/>
          <w:szCs w:val="28"/>
        </w:rPr>
      </w:pPr>
      <w:r>
        <w:rPr>
          <w:rFonts w:hint="eastAsia" w:ascii="黑体" w:hAnsi="黑体" w:eastAsia="黑体" w:cs="黑体"/>
          <w:b w:val="0"/>
          <w:bCs/>
          <w:sz w:val="28"/>
          <w:szCs w:val="28"/>
        </w:rPr>
        <w:t>2017年度高校示范马克思主义学院和优秀教学科研团队建设项目</w:t>
      </w:r>
    </w:p>
    <w:tbl>
      <w:tblPr>
        <w:tblStyle w:val="17"/>
        <w:tblW w:w="7938" w:type="dxa"/>
        <w:jc w:val="center"/>
        <w:tblInd w:w="250" w:type="dxa"/>
        <w:tblLayout w:type="fixed"/>
        <w:tblCellMar>
          <w:top w:w="0" w:type="dxa"/>
          <w:left w:w="108" w:type="dxa"/>
          <w:bottom w:w="0" w:type="dxa"/>
          <w:right w:w="108" w:type="dxa"/>
        </w:tblCellMar>
      </w:tblPr>
      <w:tblGrid>
        <w:gridCol w:w="709"/>
        <w:gridCol w:w="3402"/>
        <w:gridCol w:w="1134"/>
        <w:gridCol w:w="1276"/>
        <w:gridCol w:w="1417"/>
      </w:tblGrid>
      <w:tr>
        <w:tblPrEx>
          <w:tblLayout w:type="fixed"/>
          <w:tblCellMar>
            <w:top w:w="0" w:type="dxa"/>
            <w:left w:w="108" w:type="dxa"/>
            <w:bottom w:w="0" w:type="dxa"/>
            <w:right w:w="108" w:type="dxa"/>
          </w:tblCellMar>
        </w:tblPrEx>
        <w:trPr>
          <w:trHeight w:val="499" w:hRule="atLeast"/>
          <w:jc w:val="center"/>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序号</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ind w:firstLine="442" w:firstLineChars="200"/>
              <w:rPr>
                <w:rFonts w:ascii="宋体" w:hAnsi="宋体" w:cs="宋体"/>
                <w:b/>
                <w:bCs/>
                <w:kern w:val="0"/>
                <w:sz w:val="22"/>
              </w:rPr>
            </w:pPr>
            <w:r>
              <w:rPr>
                <w:rFonts w:hint="eastAsia" w:ascii="宋体" w:hAnsi="宋体" w:cs="宋体"/>
                <w:b/>
                <w:bCs/>
                <w:kern w:val="0"/>
                <w:sz w:val="22"/>
              </w:rPr>
              <w:t>课题名称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负责人</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工作单位</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项目类别</w:t>
            </w:r>
          </w:p>
        </w:tc>
      </w:tr>
      <w:tr>
        <w:tblPrEx>
          <w:tblLayout w:type="fixed"/>
          <w:tblCellMar>
            <w:top w:w="0" w:type="dxa"/>
            <w:left w:w="108" w:type="dxa"/>
            <w:bottom w:w="0" w:type="dxa"/>
            <w:right w:w="108" w:type="dxa"/>
          </w:tblCellMar>
        </w:tblPrEx>
        <w:trPr>
          <w:trHeight w:val="630" w:hRule="atLeast"/>
          <w:jc w:val="center"/>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firstLine="110" w:firstLineChars="50"/>
              <w:rPr>
                <w:rFonts w:ascii="Arial" w:hAnsi="Arial" w:cs="Arial"/>
                <w:color w:val="000000"/>
                <w:kern w:val="0"/>
                <w:sz w:val="22"/>
              </w:rPr>
            </w:pPr>
            <w:r>
              <w:rPr>
                <w:rFonts w:ascii="Arial" w:hAnsi="Arial" w:cs="Arial"/>
                <w:color w:val="000000"/>
                <w:kern w:val="0"/>
                <w:sz w:val="22"/>
              </w:rPr>
              <w:t>1</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思想政治理论课教师队伍拔尖人才培养工作研究</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董兆伟</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hint="eastAsia" w:ascii="宋体" w:hAnsi="宋体" w:cs="宋体"/>
                <w:color w:val="000000"/>
                <w:kern w:val="0"/>
                <w:sz w:val="22"/>
              </w:rPr>
              <w:t>校办</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Arial" w:hAnsi="Arial" w:cs="Arial"/>
                <w:color w:val="000000"/>
                <w:kern w:val="0"/>
                <w:sz w:val="22"/>
              </w:rPr>
            </w:pPr>
            <w:r>
              <w:rPr>
                <w:rFonts w:ascii="宋体" w:hAnsi="宋体" w:cs="宋体"/>
                <w:color w:val="000000"/>
                <w:kern w:val="0"/>
                <w:sz w:val="22"/>
              </w:rPr>
              <w:t>重点选题</w:t>
            </w:r>
          </w:p>
        </w:tc>
      </w:tr>
      <w:tr>
        <w:tblPrEx>
          <w:tblLayout w:type="fixed"/>
          <w:tblCellMar>
            <w:top w:w="0" w:type="dxa"/>
            <w:left w:w="108" w:type="dxa"/>
            <w:bottom w:w="0" w:type="dxa"/>
            <w:right w:w="108" w:type="dxa"/>
          </w:tblCellMar>
        </w:tblPrEx>
        <w:trPr>
          <w:trHeight w:val="630" w:hRule="atLeast"/>
          <w:jc w:val="center"/>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firstLine="110" w:firstLineChars="50"/>
              <w:rPr>
                <w:rFonts w:ascii="Arial" w:hAnsi="Arial" w:cs="Arial"/>
                <w:color w:val="000000"/>
                <w:kern w:val="0"/>
                <w:sz w:val="22"/>
              </w:rPr>
            </w:pPr>
            <w:r>
              <w:rPr>
                <w:rFonts w:hint="eastAsia" w:ascii="Arial" w:hAnsi="Arial" w:cs="Arial"/>
                <w:color w:val="000000"/>
                <w:kern w:val="0"/>
                <w:sz w:val="22"/>
              </w:rPr>
              <w:t>2</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如何看待社会主义社会中的产能过剩</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于清华</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hint="eastAsia" w:ascii="宋体" w:hAnsi="宋体" w:cs="宋体"/>
                <w:color w:val="000000"/>
                <w:kern w:val="0"/>
                <w:sz w:val="22"/>
              </w:rPr>
              <w:t>马克思主义学院</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一般选题</w:t>
            </w:r>
          </w:p>
        </w:tc>
      </w:tr>
      <w:tr>
        <w:tblPrEx>
          <w:tblLayout w:type="fixed"/>
          <w:tblCellMar>
            <w:top w:w="0" w:type="dxa"/>
            <w:left w:w="108" w:type="dxa"/>
            <w:bottom w:w="0" w:type="dxa"/>
            <w:right w:w="108" w:type="dxa"/>
          </w:tblCellMar>
        </w:tblPrEx>
        <w:trPr>
          <w:trHeight w:val="630" w:hRule="atLeast"/>
          <w:jc w:val="center"/>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firstLine="110" w:firstLineChars="50"/>
              <w:rPr>
                <w:rFonts w:ascii="Arial" w:hAnsi="Arial" w:cs="Arial"/>
                <w:color w:val="000000"/>
                <w:kern w:val="0"/>
                <w:sz w:val="22"/>
              </w:rPr>
            </w:pPr>
            <w:r>
              <w:rPr>
                <w:rFonts w:hint="eastAsia" w:ascii="Arial" w:hAnsi="Arial" w:cs="Arial"/>
                <w:color w:val="000000"/>
                <w:kern w:val="0"/>
                <w:sz w:val="22"/>
              </w:rPr>
              <w:t>3</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中华优秀传统文化融入马克思主义基本原理概论课程教学研究</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赵玉娟</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hint="eastAsia" w:ascii="宋体" w:hAnsi="宋体" w:cs="宋体"/>
                <w:color w:val="000000"/>
                <w:kern w:val="0"/>
                <w:sz w:val="22"/>
              </w:rPr>
              <w:t>马克思主义学院</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一般选题</w:t>
            </w:r>
          </w:p>
        </w:tc>
      </w:tr>
    </w:tbl>
    <w:p>
      <w:pPr>
        <w:adjustRightInd w:val="0"/>
        <w:snapToGrid w:val="0"/>
        <w:spacing w:line="360" w:lineRule="auto"/>
        <w:ind w:firstLine="560" w:firstLineChars="200"/>
        <w:rPr>
          <w:rFonts w:hint="eastAsia" w:ascii="黑体" w:hAnsi="黑体" w:eastAsia="黑体" w:cs="黑体"/>
          <w:b w:val="0"/>
          <w:bCs/>
          <w:sz w:val="28"/>
          <w:szCs w:val="28"/>
        </w:rPr>
      </w:pPr>
    </w:p>
    <w:p>
      <w:pPr>
        <w:adjustRightInd w:val="0"/>
        <w:snapToGrid w:val="0"/>
        <w:spacing w:line="360" w:lineRule="auto"/>
        <w:ind w:firstLine="560" w:firstLineChars="200"/>
        <w:rPr>
          <w:rFonts w:hint="eastAsia" w:ascii="黑体" w:hAnsi="黑体" w:eastAsia="黑体" w:cs="黑体"/>
          <w:b w:val="0"/>
          <w:bCs/>
          <w:sz w:val="28"/>
          <w:szCs w:val="28"/>
        </w:rPr>
      </w:pPr>
      <w:r>
        <w:rPr>
          <w:rFonts w:hint="eastAsia" w:ascii="黑体" w:hAnsi="黑体" w:eastAsia="黑体" w:cs="黑体"/>
          <w:b w:val="0"/>
          <w:bCs/>
          <w:sz w:val="28"/>
          <w:szCs w:val="28"/>
        </w:rPr>
        <w:t>2017年度教育部人文社会科学研究专项任务项目 （中国特色社会主义理论体系研究）</w:t>
      </w:r>
    </w:p>
    <w:tbl>
      <w:tblPr>
        <w:tblStyle w:val="17"/>
        <w:tblW w:w="7783" w:type="dxa"/>
        <w:jc w:val="center"/>
        <w:tblInd w:w="-436" w:type="dxa"/>
        <w:tblLayout w:type="fixed"/>
        <w:tblCellMar>
          <w:top w:w="0" w:type="dxa"/>
          <w:left w:w="108" w:type="dxa"/>
          <w:bottom w:w="0" w:type="dxa"/>
          <w:right w:w="108" w:type="dxa"/>
        </w:tblCellMar>
      </w:tblPr>
      <w:tblGrid>
        <w:gridCol w:w="715"/>
        <w:gridCol w:w="4082"/>
        <w:gridCol w:w="1134"/>
        <w:gridCol w:w="1852"/>
      </w:tblGrid>
      <w:tr>
        <w:tblPrEx>
          <w:tblLayout w:type="fixed"/>
          <w:tblCellMar>
            <w:top w:w="0" w:type="dxa"/>
            <w:left w:w="108" w:type="dxa"/>
            <w:bottom w:w="0" w:type="dxa"/>
            <w:right w:w="108" w:type="dxa"/>
          </w:tblCellMar>
        </w:tblPrEx>
        <w:trPr>
          <w:trHeight w:val="499" w:hRule="atLeast"/>
          <w:jc w:val="center"/>
        </w:trPr>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序号</w:t>
            </w:r>
          </w:p>
        </w:tc>
        <w:tc>
          <w:tcPr>
            <w:tcW w:w="408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ind w:firstLine="442" w:firstLineChars="200"/>
              <w:rPr>
                <w:rFonts w:ascii="宋体" w:hAnsi="宋体" w:cs="宋体"/>
                <w:b/>
                <w:bCs/>
                <w:kern w:val="0"/>
                <w:sz w:val="22"/>
              </w:rPr>
            </w:pPr>
            <w:r>
              <w:rPr>
                <w:rFonts w:hint="eastAsia" w:ascii="宋体" w:hAnsi="宋体" w:cs="宋体"/>
                <w:b/>
                <w:bCs/>
                <w:kern w:val="0"/>
                <w:sz w:val="22"/>
              </w:rPr>
              <w:t>课题名称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负责人</w:t>
            </w:r>
          </w:p>
        </w:tc>
        <w:tc>
          <w:tcPr>
            <w:tcW w:w="185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工作单位</w:t>
            </w:r>
          </w:p>
        </w:tc>
      </w:tr>
      <w:tr>
        <w:tblPrEx>
          <w:tblLayout w:type="fixed"/>
          <w:tblCellMar>
            <w:top w:w="0" w:type="dxa"/>
            <w:left w:w="108" w:type="dxa"/>
            <w:bottom w:w="0" w:type="dxa"/>
            <w:right w:w="108" w:type="dxa"/>
          </w:tblCellMar>
        </w:tblPrEx>
        <w:trPr>
          <w:trHeight w:val="630" w:hRule="atLeast"/>
          <w:jc w:val="center"/>
        </w:trPr>
        <w:tc>
          <w:tcPr>
            <w:tcW w:w="715"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firstLine="220" w:firstLineChars="100"/>
              <w:rPr>
                <w:rFonts w:ascii="Arial" w:hAnsi="Arial" w:cs="Arial"/>
                <w:color w:val="000000"/>
                <w:kern w:val="0"/>
                <w:sz w:val="22"/>
              </w:rPr>
            </w:pPr>
            <w:r>
              <w:rPr>
                <w:rFonts w:hint="eastAsia" w:ascii="Arial" w:hAnsi="Arial" w:cs="Arial"/>
                <w:color w:val="000000"/>
                <w:kern w:val="0"/>
                <w:sz w:val="22"/>
              </w:rPr>
              <w:t>1</w:t>
            </w:r>
          </w:p>
        </w:tc>
        <w:tc>
          <w:tcPr>
            <w:tcW w:w="4082"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社会主义核心价值观融入大学生核心素养的实施路径研究</w:t>
            </w:r>
          </w:p>
        </w:tc>
        <w:tc>
          <w:tcPr>
            <w:tcW w:w="1134"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ascii="宋体" w:hAnsi="宋体" w:cs="宋体"/>
                <w:color w:val="000000"/>
                <w:kern w:val="0"/>
                <w:sz w:val="22"/>
              </w:rPr>
              <w:t>郑康</w:t>
            </w:r>
          </w:p>
        </w:tc>
        <w:tc>
          <w:tcPr>
            <w:tcW w:w="1852"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hint="eastAsia" w:ascii="宋体" w:hAnsi="宋体" w:cs="宋体"/>
                <w:color w:val="000000"/>
                <w:kern w:val="0"/>
                <w:sz w:val="22"/>
              </w:rPr>
              <w:t>马克思主义学院</w:t>
            </w:r>
          </w:p>
        </w:tc>
      </w:tr>
    </w:tbl>
    <w:p>
      <w:pPr>
        <w:adjustRightInd w:val="0"/>
        <w:snapToGrid w:val="0"/>
        <w:spacing w:line="360" w:lineRule="auto"/>
        <w:ind w:firstLine="562" w:firstLineChars="200"/>
        <w:rPr>
          <w:b/>
          <w:sz w:val="28"/>
          <w:szCs w:val="28"/>
        </w:rPr>
      </w:pPr>
    </w:p>
    <w:p>
      <w:pPr>
        <w:adjustRightInd w:val="0"/>
        <w:snapToGrid w:val="0"/>
        <w:spacing w:line="360" w:lineRule="auto"/>
        <w:ind w:firstLine="560" w:firstLineChars="200"/>
        <w:rPr>
          <w:rFonts w:hint="eastAsia" w:ascii="黑体" w:hAnsi="黑体" w:eastAsia="黑体" w:cs="黑体"/>
          <w:b w:val="0"/>
          <w:bCs/>
          <w:color w:val="000000"/>
          <w:sz w:val="24"/>
          <w:szCs w:val="24"/>
        </w:rPr>
      </w:pPr>
      <w:r>
        <w:rPr>
          <w:rFonts w:hint="eastAsia" w:ascii="黑体" w:hAnsi="黑体" w:eastAsia="黑体" w:cs="黑体"/>
          <w:b w:val="0"/>
          <w:bCs/>
          <w:sz w:val="28"/>
          <w:szCs w:val="28"/>
        </w:rPr>
        <w:t>2017年度教育部人文社会科学研究规划基金、青年基金、自筹经费项目</w:t>
      </w:r>
    </w:p>
    <w:tbl>
      <w:tblPr>
        <w:tblStyle w:val="17"/>
        <w:tblW w:w="7938" w:type="dxa"/>
        <w:tblInd w:w="250" w:type="dxa"/>
        <w:tblLayout w:type="fixed"/>
        <w:tblCellMar>
          <w:top w:w="0" w:type="dxa"/>
          <w:left w:w="108" w:type="dxa"/>
          <w:bottom w:w="0" w:type="dxa"/>
          <w:right w:w="108" w:type="dxa"/>
        </w:tblCellMar>
      </w:tblPr>
      <w:tblGrid>
        <w:gridCol w:w="709"/>
        <w:gridCol w:w="3402"/>
        <w:gridCol w:w="1134"/>
        <w:gridCol w:w="1417"/>
        <w:gridCol w:w="1276"/>
      </w:tblGrid>
      <w:tr>
        <w:tblPrEx>
          <w:tblLayout w:type="fixed"/>
          <w:tblCellMar>
            <w:top w:w="0" w:type="dxa"/>
            <w:left w:w="108" w:type="dxa"/>
            <w:bottom w:w="0" w:type="dxa"/>
            <w:right w:w="108" w:type="dxa"/>
          </w:tblCellMar>
        </w:tblPrEx>
        <w:trPr>
          <w:trHeight w:val="499"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序号</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ind w:firstLine="994" w:firstLineChars="450"/>
              <w:rPr>
                <w:rFonts w:ascii="宋体" w:hAnsi="宋体" w:cs="宋体"/>
                <w:b/>
                <w:bCs/>
                <w:kern w:val="0"/>
                <w:sz w:val="22"/>
              </w:rPr>
            </w:pPr>
            <w:r>
              <w:rPr>
                <w:rFonts w:hint="eastAsia" w:ascii="宋体" w:hAnsi="宋体" w:cs="宋体"/>
                <w:b/>
                <w:bCs/>
                <w:kern w:val="0"/>
                <w:sz w:val="22"/>
              </w:rPr>
              <w:t>课题名称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负责人</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工作单位</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b/>
                <w:bCs/>
                <w:kern w:val="0"/>
                <w:sz w:val="22"/>
              </w:rPr>
            </w:pPr>
            <w:r>
              <w:rPr>
                <w:rFonts w:hint="eastAsia" w:ascii="宋体" w:hAnsi="宋体" w:cs="宋体"/>
                <w:b/>
                <w:bCs/>
                <w:kern w:val="0"/>
                <w:sz w:val="22"/>
              </w:rPr>
              <w:t>项目类别</w:t>
            </w:r>
          </w:p>
        </w:tc>
      </w:tr>
      <w:tr>
        <w:tblPrEx>
          <w:tblLayout w:type="fixed"/>
          <w:tblCellMar>
            <w:top w:w="0" w:type="dxa"/>
            <w:left w:w="108" w:type="dxa"/>
            <w:bottom w:w="0" w:type="dxa"/>
            <w:right w:w="108" w:type="dxa"/>
          </w:tblCellMar>
        </w:tblPrEx>
        <w:trPr>
          <w:trHeight w:val="630" w:hRule="atLeast"/>
        </w:trPr>
        <w:tc>
          <w:tcPr>
            <w:tcW w:w="709"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rPr>
                <w:rFonts w:ascii="Arial" w:hAnsi="Arial" w:cs="Arial"/>
                <w:color w:val="000000"/>
                <w:kern w:val="0"/>
                <w:sz w:val="22"/>
              </w:rPr>
            </w:pPr>
            <w:r>
              <w:rPr>
                <w:rFonts w:ascii="Arial" w:hAnsi="Arial" w:cs="Arial"/>
                <w:color w:val="000000"/>
                <w:kern w:val="0"/>
                <w:sz w:val="22"/>
              </w:rPr>
              <w:t>1</w:t>
            </w:r>
          </w:p>
        </w:tc>
        <w:tc>
          <w:tcPr>
            <w:tcW w:w="3402"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jc w:val="left"/>
              <w:rPr>
                <w:rFonts w:ascii="宋体" w:hAnsi="宋体" w:cs="宋体"/>
                <w:color w:val="000000"/>
                <w:kern w:val="0"/>
                <w:sz w:val="22"/>
              </w:rPr>
            </w:pPr>
            <w:r>
              <w:rPr>
                <w:rFonts w:ascii="宋体" w:hAnsi="宋体" w:cs="宋体"/>
                <w:color w:val="000000"/>
                <w:kern w:val="0"/>
                <w:sz w:val="22"/>
              </w:rPr>
              <w:t>成熟型资源型城市工矿用地废弃风险预警及协同再生机理研究</w:t>
            </w:r>
          </w:p>
        </w:tc>
        <w:tc>
          <w:tcPr>
            <w:tcW w:w="1134"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宋体" w:hAnsi="宋体" w:cs="宋体"/>
                <w:color w:val="000000"/>
                <w:kern w:val="0"/>
                <w:sz w:val="22"/>
              </w:rPr>
            </w:pPr>
            <w:r>
              <w:rPr>
                <w:rFonts w:hint="eastAsia" w:ascii="宋体" w:hAnsi="宋体" w:cs="宋体"/>
                <w:color w:val="000000"/>
                <w:kern w:val="0"/>
                <w:sz w:val="22"/>
              </w:rPr>
              <w:t>武彦斌</w:t>
            </w:r>
          </w:p>
        </w:tc>
        <w:tc>
          <w:tcPr>
            <w:tcW w:w="1417"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jc w:val="left"/>
              <w:rPr>
                <w:rFonts w:ascii="宋体" w:hAnsi="宋体" w:cs="宋体"/>
                <w:color w:val="000000"/>
                <w:kern w:val="0"/>
                <w:sz w:val="22"/>
              </w:rPr>
            </w:pPr>
            <w:r>
              <w:rPr>
                <w:rFonts w:hint="eastAsia" w:ascii="宋体" w:hAnsi="宋体" w:cs="宋体"/>
                <w:color w:val="000000"/>
                <w:kern w:val="0"/>
                <w:sz w:val="22"/>
              </w:rPr>
              <w:t>管理科学与工程学院</w:t>
            </w:r>
          </w:p>
        </w:tc>
        <w:tc>
          <w:tcPr>
            <w:tcW w:w="1276" w:type="dxa"/>
            <w:tcBorders>
              <w:top w:val="nil"/>
              <w:left w:val="nil"/>
              <w:bottom w:val="single" w:color="auto" w:sz="4" w:space="0"/>
              <w:right w:val="single" w:color="auto" w:sz="4" w:space="0"/>
            </w:tcBorders>
            <w:shd w:val="clear" w:color="auto" w:fill="auto"/>
            <w:vAlign w:val="center"/>
          </w:tcPr>
          <w:p>
            <w:pPr>
              <w:widowControl/>
              <w:adjustRightInd w:val="0"/>
              <w:snapToGrid w:val="0"/>
              <w:spacing w:line="360" w:lineRule="auto"/>
              <w:rPr>
                <w:rFonts w:ascii="Arial" w:hAnsi="Arial" w:cs="Arial"/>
                <w:color w:val="000000"/>
                <w:kern w:val="0"/>
                <w:sz w:val="22"/>
              </w:rPr>
            </w:pPr>
            <w:r>
              <w:rPr>
                <w:rFonts w:hint="eastAsia" w:ascii="Arial" w:hAnsi="Arial" w:cs="Arial"/>
                <w:color w:val="000000"/>
                <w:kern w:val="0"/>
                <w:sz w:val="22"/>
              </w:rPr>
              <w:t>青年基金</w:t>
            </w:r>
          </w:p>
        </w:tc>
      </w:tr>
    </w:tbl>
    <w:p>
      <w:pPr>
        <w:adjustRightInd w:val="0"/>
        <w:snapToGrid w:val="0"/>
        <w:spacing w:line="360" w:lineRule="auto"/>
        <w:ind w:firstLine="640" w:firstLineChars="200"/>
        <w:rPr>
          <w:rFonts w:ascii="仿宋_GB2312" w:hAnsi="仿宋" w:eastAsia="仿宋_GB2312" w:cs="仿宋"/>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hAnsi="仿宋" w:eastAsia="仿宋_GB2312" w:cs="仿宋"/>
          <w:b/>
          <w:sz w:val="32"/>
          <w:szCs w:val="32"/>
        </w:rPr>
      </w:pPr>
      <w:r>
        <w:rPr>
          <w:rFonts w:hint="eastAsia" w:ascii="黑体" w:hAnsi="黑体" w:eastAsia="黑体" w:cs="黑体"/>
          <w:b w:val="0"/>
          <w:bCs/>
          <w:sz w:val="32"/>
          <w:szCs w:val="32"/>
        </w:rPr>
        <w:t>二</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智库建设</w:t>
      </w:r>
      <w:r>
        <w:rPr>
          <w:rFonts w:hint="eastAsia" w:ascii="仿宋_GB2312" w:hAnsi="仿宋" w:eastAsia="仿宋_GB2312" w:cs="仿宋"/>
          <w:b/>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2017年，我校</w:t>
      </w:r>
      <w:r>
        <w:rPr>
          <w:rFonts w:hint="eastAsia" w:ascii="仿宋_GB2312" w:hAnsi="仿宋" w:eastAsia="仿宋_GB2312" w:cs="仿宋"/>
          <w:sz w:val="32"/>
          <w:szCs w:val="32"/>
        </w:rPr>
        <w:t>社会管理德治与法治协同创新中心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京津冀一体化发展协同创新中心</w:t>
      </w:r>
      <w:r>
        <w:rPr>
          <w:rFonts w:hint="eastAsia" w:ascii="仿宋_GB2312" w:hAnsi="仿宋" w:eastAsia="仿宋_GB2312" w:cs="仿宋"/>
          <w:sz w:val="32"/>
          <w:szCs w:val="32"/>
          <w:lang w:val="en-US" w:eastAsia="zh-CN"/>
        </w:rPr>
        <w:t>双双入围CTTI智库名单，加上已有的道德文化与社会发展研究中心，我校已有3个智库进入CTTI智库搜索引擎。</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ascii="仿宋_GB2312" w:hAnsi="仿宋" w:eastAsia="仿宋_GB2312" w:cs="仿宋"/>
          <w:sz w:val="32"/>
          <w:szCs w:val="32"/>
        </w:rPr>
      </w:pPr>
      <w:r>
        <w:rPr>
          <w:rFonts w:hint="eastAsia" w:ascii="仿宋_GB2312" w:hAnsi="仿宋" w:eastAsia="仿宋_GB2312" w:cs="仿宋"/>
          <w:sz w:val="32"/>
          <w:szCs w:val="32"/>
        </w:rPr>
        <w:t xml:space="preserve">2017年，经济研究所和京津冀一体化发展协同创新中心合署以来，科研、学科、教学等工作取得进一步发展。秉承一贯宗旨，服务地方经济，通过各种渠道，积极为地方经济建设献计献策。同时积极发挥中心的平台优势和研究所人才优势，倾力深化人才、学科、科研三位一体体制机制改革创新，各方面工作取得了新进展，中心学术交流、科研成果、决策咨询、人才培养等方面取得了新成绩，影响力和知名度不断提升。   </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hAnsi="仿宋" w:eastAsia="仿宋_GB2312" w:cs="仿宋"/>
          <w:sz w:val="32"/>
          <w:szCs w:val="32"/>
        </w:rPr>
      </w:pPr>
      <w:r>
        <w:rPr>
          <w:rFonts w:hint="eastAsia" w:ascii="仿宋_GB2312" w:hAnsi="仿宋" w:eastAsia="仿宋_GB2312" w:cs="仿宋"/>
          <w:sz w:val="32"/>
          <w:szCs w:val="32"/>
        </w:rPr>
        <w:t>2017年社会管理德治与法治协同创新中心各项工作取得积极进展获得高层次科研成果。进一步完善中心信息平台，组织专门人员研究操作，召开多次研讨会并与商家不断沟通，对该平台进行了相当大的改进和优化；完成社会管理德治与法治协同创新中心和尼泊尔研究中心网站建设；建立尼泊尔中心实验资料阅览室、研究室。2017年中心以高校思政治工作创新、道德文化建设与社会治理为主题举办二场全国性学术研究讨会，来自北京大学、西南财经大学等重点高校的专家学者在会议上作主题演讲，会议以文会友，促进了中心对外交流，扩大了中心在学术界的影响。另外举行小型学术研讨会三场。积极鼓励研究人员进行对外交流活动，参加国内外高次层学术研究会、学术年会20余人次，极大地开阔了研究成员的视野。</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2017年我校响应《河北省军民融合产学研用示范基地建设工作的通知》精神，科研处积极申报，经省专家评审和综合考察，我校被评为“第二批河北省军民融合产学沿用创建基地”。该基地的创建标志着我校产学研用的紧密结合，该基地对聚焦科技人才，推进国防科技成果转化，促进民用产品和技术参与武器装备科研生产发挥重要的作用，为我省军民融合深度发展做出更大的贡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仿宋" w:eastAsia="仿宋_GB2312" w:cs="仿宋"/>
          <w:sz w:val="32"/>
          <w:szCs w:val="32"/>
          <w:lang w:val="en-US" w:eastAsia="zh-CN"/>
        </w:rPr>
      </w:pPr>
      <w:r>
        <w:rPr>
          <w:rFonts w:hint="eastAsia" w:ascii="仿宋_GB2312" w:hAnsi="仿宋" w:eastAsia="仿宋_GB2312" w:cs="仿宋"/>
          <w:sz w:val="32"/>
          <w:szCs w:val="32"/>
          <w:lang w:val="en-US" w:eastAsia="zh-CN"/>
        </w:rPr>
        <w:t>为了更好地发挥我校智库的作用，成立了河北经贸大学智库信息中心，抽出专人负责收集</w:t>
      </w:r>
      <w:r>
        <w:rPr>
          <w:rFonts w:hint="eastAsia" w:ascii="仿宋_GB2312" w:hAnsi="仿宋_GB2312" w:eastAsia="仿宋_GB2312" w:cs="仿宋_GB2312"/>
          <w:sz w:val="32"/>
          <w:szCs w:val="32"/>
        </w:rPr>
        <w:t>省政府相关部门和各地市亟待解决的问题，梳理我校专家的研究专长，邀约撰写专题报告，编印校级智库刊物，以实现有效整合校内优势资源，多出智库精品成果的目的。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三</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科研政策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hAnsi="仿宋" w:eastAsia="仿宋_GB2312" w:cs="仿宋_GB2312"/>
          <w:color w:val="000000"/>
          <w:sz w:val="32"/>
          <w:szCs w:val="32"/>
        </w:rPr>
      </w:pPr>
      <w:r>
        <w:rPr>
          <w:rFonts w:hint="eastAsia" w:ascii="仿宋_GB2312" w:hAnsi="仿宋" w:eastAsia="仿宋_GB2312" w:cs="仿宋"/>
          <w:sz w:val="32"/>
          <w:szCs w:val="32"/>
        </w:rPr>
        <w:t>为规范和加强我校各类纵向、横向科研项目经费的管理，提高资金的使用效益，充分调动广大教职员工从事科研工作的积极性，修改完善了《河北经贸大学省级财政科研经费列支课题组成员劳务费改革试点工作实行方案》，出台了</w:t>
      </w:r>
      <w:r>
        <w:rPr>
          <w:rFonts w:hint="eastAsia" w:ascii="仿宋_GB2312" w:hAnsi="仿宋" w:eastAsia="仿宋_GB2312" w:cs="仿宋_GB2312"/>
          <w:color w:val="000000"/>
          <w:sz w:val="32"/>
          <w:szCs w:val="32"/>
        </w:rPr>
        <w:t>《河北经贸大学科研经费管理办法（</w:t>
      </w:r>
      <w:r>
        <w:rPr>
          <w:rFonts w:ascii="仿宋_GB2312" w:hAnsi="仿宋" w:eastAsia="仿宋_GB2312" w:cs="仿宋_GB2312"/>
          <w:color w:val="000000"/>
          <w:sz w:val="32"/>
          <w:szCs w:val="32"/>
        </w:rPr>
        <w:t>2017</w:t>
      </w:r>
      <w:r>
        <w:rPr>
          <w:rFonts w:hint="eastAsia" w:ascii="仿宋_GB2312" w:hAnsi="仿宋" w:eastAsia="仿宋_GB2312" w:cs="仿宋_GB2312"/>
          <w:color w:val="000000"/>
          <w:sz w:val="32"/>
          <w:szCs w:val="32"/>
        </w:rPr>
        <w:t>年修订）》</w:t>
      </w:r>
      <w:r>
        <w:rPr>
          <w:rFonts w:hint="eastAsia" w:ascii="仿宋_GB2312" w:hAnsi="仿宋" w:eastAsia="仿宋_GB2312" w:cs="仿宋"/>
          <w:sz w:val="32"/>
          <w:szCs w:val="32"/>
        </w:rPr>
        <w:t>，</w:t>
      </w:r>
      <w:r>
        <w:rPr>
          <w:rFonts w:hint="eastAsia" w:ascii="仿宋_GB2312" w:hAnsi="仿宋" w:eastAsia="仿宋_GB2312" w:cs="仿宋_GB2312"/>
          <w:color w:val="000000"/>
          <w:sz w:val="32"/>
          <w:szCs w:val="32"/>
        </w:rPr>
        <w:t>修订后的科研经费管理办法在直接费用支出管理，资金结转、结余管理，科研仪器设备管理等方面进行了改进，并建立了财务助理制度。制定了《河北经贸大学科研项目间接经费管理实施细则》（校办字[2017]4号），对间接经费的核定比例、支出方式、申请流程等做了合规、详细、可行的规定。</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eastAsia="仿宋_GB2312"/>
          <w:sz w:val="32"/>
          <w:szCs w:val="32"/>
        </w:rPr>
        <w:t>修改2017年职称评审的破格条件及量化指标体系；修改制定了新的《河北经贸大学有突出贡献专家选拔办法（2017年修订）》校科字【2017】11号、河北经贸大学青年科研标兵评选办法（试行）【2017】4号、</w:t>
      </w:r>
      <w:r>
        <w:rPr>
          <w:rFonts w:hint="eastAsia" w:ascii="仿宋_GB2312" w:hAnsi="仿宋_GB2312" w:eastAsia="仿宋_GB2312" w:cs="仿宋_GB2312"/>
          <w:sz w:val="32"/>
          <w:szCs w:val="32"/>
        </w:rPr>
        <w:t>为引导教师发表高水平学术论文，强化科研特色，优化学科布局，结合学校实际，参考相关高校的先进做法和经验，按照公平、公正、公开的原则，制定了《河北经贸大学期刊分类目录》。</w:t>
      </w:r>
      <w:r>
        <w:rPr>
          <w:rFonts w:hint="eastAsia" w:ascii="仿宋_GB2312" w:hAnsi="仿宋" w:eastAsia="仿宋_GB2312" w:cs="仿宋"/>
          <w:sz w:val="32"/>
          <w:szCs w:val="32"/>
        </w:rPr>
        <w:t>结合该期刊分类目表，出台了《河</w:t>
      </w:r>
      <w:r>
        <w:rPr>
          <w:rFonts w:hint="eastAsia" w:ascii="仿宋_GB2312" w:hAnsi="仿宋_GB2312" w:eastAsia="仿宋_GB2312" w:cs="仿宋_GB2312"/>
          <w:sz w:val="32"/>
          <w:szCs w:val="32"/>
        </w:rPr>
        <w:t>北经贸大学科研奖励办法》（2018版），以此激励教师高水平成果的发表，进而提高我校教学、科研水平及社会服务能力，促进学科建设和专业人才培养。</w:t>
      </w:r>
      <w:r>
        <w:rPr>
          <w:rFonts w:hint="eastAsia" w:ascii="仿宋_GB2312" w:hAnsi="仿宋_GB2312" w:eastAsia="仿宋_GB2312" w:cs="仿宋_GB2312"/>
          <w:sz w:val="32"/>
          <w:szCs w:val="32"/>
          <w:lang w:val="en-US" w:eastAsia="zh-CN"/>
        </w:rPr>
        <w:t>出台了《河北经贸大学青年科研人才支持计划实施计划》，</w:t>
      </w:r>
      <w:r>
        <w:rPr>
          <w:rFonts w:hint="eastAsia" w:ascii="仿宋_GB2312" w:hAnsi="Arial" w:eastAsia="仿宋_GB2312" w:cs="Arial"/>
          <w:color w:val="auto"/>
          <w:kern w:val="0"/>
          <w:sz w:val="32"/>
          <w:szCs w:val="32"/>
          <w:highlight w:val="none"/>
        </w:rPr>
        <w:t>进一步调动我校广大青年教师的科研积极性</w:t>
      </w:r>
      <w:r>
        <w:rPr>
          <w:rFonts w:hint="eastAsia" w:ascii="仿宋_GB2312" w:hAnsi="Arial" w:eastAsia="仿宋_GB2312" w:cs="Arial"/>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社会服务</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ascii="仿宋_GB2312" w:hAnsi="仿宋" w:eastAsia="仿宋_GB2312" w:cs="仿宋"/>
          <w:sz w:val="32"/>
          <w:szCs w:val="32"/>
        </w:rPr>
      </w:pPr>
      <w:r>
        <w:rPr>
          <w:rFonts w:hint="eastAsia" w:ascii="仿宋_GB2312" w:hAnsi="仿宋" w:eastAsia="仿宋_GB2312" w:cs="仿宋"/>
          <w:sz w:val="32"/>
          <w:szCs w:val="32"/>
        </w:rPr>
        <w:t xml:space="preserve">今年，学校研究人员在京津冀协同创新发展、河北省科技创新体系建设、金融供给侧改革等关系河北发展创新的一系列重大课题方面研究获得突破并得到省市领导高度重视与批示。武义青教授的《关于深化“放管服”改革的几点建议》获得省长许勤，省长助理尹亚力，省政府秘书长朱浩文批示；张学引教授的《河北省开行中欧班列研究报告》获副省长王晓东批示；郭会斌教授的《以“创业精神+工匠精神”为引擎，推动我省“老字号”企业升级的建议》获副省长王晓东批示。 </w:t>
      </w:r>
    </w:p>
    <w:p>
      <w:pPr>
        <w:adjustRightInd w:val="0"/>
        <w:snapToGrid w:val="0"/>
        <w:spacing w:line="360" w:lineRule="auto"/>
        <w:rPr>
          <w:rFonts w:ascii="仿宋_GB2312" w:hAnsi="仿宋" w:eastAsia="仿宋_GB2312" w:cs="仿宋"/>
        </w:rPr>
      </w:pPr>
    </w:p>
    <w:tbl>
      <w:tblPr>
        <w:tblStyle w:val="17"/>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402"/>
        <w:gridCol w:w="283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1" w:hRule="atLeast"/>
        </w:trPr>
        <w:tc>
          <w:tcPr>
            <w:tcW w:w="993" w:type="dxa"/>
            <w:shd w:val="clear" w:color="auto" w:fill="auto"/>
            <w:vAlign w:val="center"/>
          </w:tcPr>
          <w:p>
            <w:pPr>
              <w:widowControl/>
              <w:adjustRightInd w:val="0"/>
              <w:snapToGrid w:val="0"/>
              <w:spacing w:line="360" w:lineRule="auto"/>
              <w:ind w:firstLine="211" w:firstLineChars="100"/>
              <w:rPr>
                <w:rFonts w:ascii="仿宋_GB2312" w:hAnsi="宋体" w:eastAsia="仿宋_GB2312" w:cs="宋体"/>
                <w:b/>
                <w:bCs/>
                <w:color w:val="000000"/>
                <w:kern w:val="0"/>
              </w:rPr>
            </w:pPr>
            <w:r>
              <w:rPr>
                <w:rFonts w:hint="eastAsia" w:ascii="仿宋_GB2312" w:hAnsi="宋体" w:eastAsia="仿宋_GB2312" w:cs="宋体"/>
                <w:b/>
                <w:bCs/>
                <w:color w:val="000000"/>
                <w:kern w:val="0"/>
              </w:rPr>
              <w:t>姓名</w:t>
            </w:r>
          </w:p>
        </w:tc>
        <w:tc>
          <w:tcPr>
            <w:tcW w:w="3402" w:type="dxa"/>
            <w:shd w:val="clear" w:color="auto" w:fill="auto"/>
            <w:vAlign w:val="center"/>
          </w:tcPr>
          <w:p>
            <w:pPr>
              <w:widowControl/>
              <w:adjustRightInd w:val="0"/>
              <w:snapToGrid w:val="0"/>
              <w:spacing w:line="360" w:lineRule="auto"/>
              <w:ind w:firstLine="1054" w:firstLineChars="500"/>
              <w:rPr>
                <w:rFonts w:ascii="仿宋_GB2312" w:hAnsi="宋体" w:eastAsia="仿宋_GB2312" w:cs="宋体"/>
                <w:b/>
                <w:bCs/>
                <w:color w:val="000000"/>
                <w:kern w:val="0"/>
              </w:rPr>
            </w:pPr>
            <w:r>
              <w:rPr>
                <w:rFonts w:hint="eastAsia" w:ascii="仿宋_GB2312" w:hAnsi="宋体" w:eastAsia="仿宋_GB2312" w:cs="宋体"/>
                <w:b/>
                <w:bCs/>
                <w:color w:val="000000"/>
                <w:kern w:val="0"/>
              </w:rPr>
              <w:t>报告内容</w:t>
            </w:r>
          </w:p>
        </w:tc>
        <w:tc>
          <w:tcPr>
            <w:tcW w:w="2835" w:type="dxa"/>
            <w:shd w:val="clear" w:color="auto" w:fill="auto"/>
            <w:vAlign w:val="center"/>
          </w:tcPr>
          <w:p>
            <w:pPr>
              <w:widowControl/>
              <w:adjustRightInd w:val="0"/>
              <w:snapToGrid w:val="0"/>
              <w:spacing w:line="360" w:lineRule="auto"/>
              <w:ind w:firstLine="316" w:firstLineChars="150"/>
              <w:rPr>
                <w:rFonts w:ascii="仿宋_GB2312" w:hAnsi="宋体" w:eastAsia="仿宋_GB2312" w:cs="宋体"/>
                <w:b/>
                <w:bCs/>
                <w:color w:val="000000"/>
                <w:kern w:val="0"/>
              </w:rPr>
            </w:pPr>
            <w:r>
              <w:rPr>
                <w:rFonts w:hint="eastAsia" w:ascii="仿宋_GB2312" w:hAnsi="宋体" w:eastAsia="仿宋_GB2312" w:cs="宋体"/>
                <w:b/>
                <w:bCs/>
                <w:color w:val="000000"/>
                <w:kern w:val="0"/>
              </w:rPr>
              <w:t>领导批示</w:t>
            </w:r>
          </w:p>
        </w:tc>
        <w:tc>
          <w:tcPr>
            <w:tcW w:w="1843" w:type="dxa"/>
            <w:shd w:val="clear" w:color="auto" w:fill="auto"/>
            <w:vAlign w:val="center"/>
          </w:tcPr>
          <w:p>
            <w:pPr>
              <w:widowControl/>
              <w:adjustRightInd w:val="0"/>
              <w:snapToGrid w:val="0"/>
              <w:spacing w:line="360" w:lineRule="auto"/>
              <w:ind w:firstLine="211" w:firstLineChars="100"/>
              <w:rPr>
                <w:rFonts w:ascii="仿宋_GB2312" w:hAnsi="宋体" w:eastAsia="仿宋_GB2312" w:cs="宋体"/>
                <w:b/>
                <w:bCs/>
                <w:color w:val="000000"/>
                <w:kern w:val="0"/>
              </w:rPr>
            </w:pPr>
            <w:r>
              <w:rPr>
                <w:rFonts w:hint="eastAsia" w:ascii="仿宋_GB2312" w:hAnsi="宋体" w:eastAsia="仿宋_GB2312" w:cs="宋体"/>
                <w:b/>
                <w:bCs/>
                <w:color w:val="000000"/>
                <w:kern w:val="0"/>
              </w:rPr>
              <w:t>批示时间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trPr>
        <w:tc>
          <w:tcPr>
            <w:tcW w:w="993" w:type="dxa"/>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武义青</w:t>
            </w:r>
          </w:p>
        </w:tc>
        <w:tc>
          <w:tcPr>
            <w:tcW w:w="3402"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hAnsi="仿宋" w:eastAsia="仿宋_GB2312" w:cs="仿宋"/>
                <w:sz w:val="22"/>
                <w:szCs w:val="22"/>
              </w:rPr>
              <w:t>关于深化“放管服”改革的几点建议</w:t>
            </w:r>
          </w:p>
        </w:tc>
        <w:tc>
          <w:tcPr>
            <w:tcW w:w="2835"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省长许勤，省长助理尹亚力，省政府秘书长朱浩</w:t>
            </w:r>
            <w:r>
              <w:rPr>
                <w:rFonts w:hint="eastAsia" w:ascii="仿宋_GB2312" w:eastAsia="仿宋_GB2312"/>
                <w:color w:val="000000"/>
                <w:sz w:val="22"/>
                <w:szCs w:val="22"/>
                <w:lang w:val="en-US" w:eastAsia="zh-CN"/>
              </w:rPr>
              <w:t>文</w:t>
            </w:r>
          </w:p>
        </w:tc>
        <w:tc>
          <w:tcPr>
            <w:tcW w:w="1843"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2017年8月24/25/29日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993" w:type="dxa"/>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hAnsi="仿宋" w:eastAsia="仿宋_GB2312" w:cs="仿宋"/>
                <w:sz w:val="22"/>
                <w:szCs w:val="22"/>
              </w:rPr>
              <w:t>张学引</w:t>
            </w:r>
          </w:p>
        </w:tc>
        <w:tc>
          <w:tcPr>
            <w:tcW w:w="3402"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hAnsi="仿宋" w:eastAsia="仿宋_GB2312" w:cs="仿宋"/>
                <w:sz w:val="22"/>
                <w:szCs w:val="22"/>
              </w:rPr>
              <w:t>河北省开行中欧班列研究报告</w:t>
            </w:r>
          </w:p>
        </w:tc>
        <w:tc>
          <w:tcPr>
            <w:tcW w:w="2835"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副省长王晓东</w:t>
            </w:r>
          </w:p>
        </w:tc>
        <w:tc>
          <w:tcPr>
            <w:tcW w:w="1843"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2017年9月12日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10" w:hRule="atLeast"/>
        </w:trPr>
        <w:tc>
          <w:tcPr>
            <w:tcW w:w="993" w:type="dxa"/>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hAnsi="仿宋" w:eastAsia="仿宋_GB2312" w:cs="仿宋"/>
                <w:sz w:val="22"/>
                <w:szCs w:val="22"/>
              </w:rPr>
              <w:t>郭会斌</w:t>
            </w:r>
          </w:p>
        </w:tc>
        <w:tc>
          <w:tcPr>
            <w:tcW w:w="3402"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hAnsi="仿宋" w:eastAsia="仿宋_GB2312" w:cs="仿宋"/>
                <w:sz w:val="22"/>
                <w:szCs w:val="22"/>
              </w:rPr>
              <w:t>以“创业精神+工匠精神”为引擎，推动我省“老字号”企业升级的建议</w:t>
            </w:r>
          </w:p>
        </w:tc>
        <w:tc>
          <w:tcPr>
            <w:tcW w:w="2835"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副省长王晓东</w:t>
            </w:r>
          </w:p>
        </w:tc>
        <w:tc>
          <w:tcPr>
            <w:tcW w:w="1843" w:type="dxa"/>
            <w:shd w:val="clear" w:color="auto" w:fill="auto"/>
            <w:vAlign w:val="center"/>
          </w:tcPr>
          <w:p>
            <w:pPr>
              <w:adjustRightInd w:val="0"/>
              <w:snapToGrid w:val="0"/>
              <w:spacing w:line="360" w:lineRule="auto"/>
              <w:rPr>
                <w:rFonts w:ascii="仿宋_GB2312" w:hAnsi="宋体" w:eastAsia="仿宋_GB2312" w:cs="宋体"/>
                <w:color w:val="000000"/>
                <w:sz w:val="22"/>
                <w:szCs w:val="22"/>
              </w:rPr>
            </w:pPr>
            <w:r>
              <w:rPr>
                <w:rFonts w:hint="eastAsia" w:ascii="仿宋_GB2312" w:eastAsia="仿宋_GB2312"/>
                <w:color w:val="000000"/>
                <w:sz w:val="22"/>
                <w:szCs w:val="22"/>
              </w:rPr>
              <w:t>2017年1月10日</w:t>
            </w:r>
          </w:p>
        </w:tc>
      </w:tr>
    </w:tbl>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五</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学术交流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ascii="仿宋_GB2312" w:hAnsi="仿宋" w:eastAsia="仿宋_GB2312" w:cs="仿宋"/>
          <w:sz w:val="32"/>
          <w:szCs w:val="32"/>
        </w:rPr>
      </w:pPr>
      <w:r>
        <w:rPr>
          <w:rFonts w:hint="eastAsia" w:ascii="仿宋_GB2312" w:hAnsi="仿宋" w:eastAsia="仿宋_GB2312" w:cs="仿宋"/>
          <w:sz w:val="32"/>
          <w:szCs w:val="32"/>
        </w:rPr>
        <w:t>2017年，科研处积极推动和开展学校学术交流活动，支持各学院部研究所组织和举办“上规模、上档次”的地方乃至全国和国际学术会议、学术研讨和讲座，邀请国内学术团体及组织、著名专家来校开展学术活动及学术讲座。一年来，全校共举办230多场国际性、全国性、全省各级学术研讨、学术论坛、学术讲座、学术沙龙活动，内容丰富，形式新颖，学科广泛，取得良好效果。其中，“新时代、新思想、新征程--十九大报告解读”、“社会治理与文明道德建设学术研讨会”、“纪念马克思“资本论”出版150周年研讨会”、“沟通、共享、合作、共赢--促进新型智库建设，推动河北深度参与16+1合作国际学术论坛”、“第三届马克思主义伦理学论坛”、“雄安新区创新发展研讨会”、“京津冀国家治理与道德建设论坛”、“高校思想政治工作创新研讨会”等国际性和全国性高端学术研讨会和一批精品学术讲座和沙龙让师生们受益匪浅。</w:t>
      </w:r>
    </w:p>
    <w:tbl>
      <w:tblPr>
        <w:tblStyle w:val="17"/>
        <w:tblpPr w:leftFromText="180" w:rightFromText="180" w:vertAnchor="text" w:horzAnchor="page" w:tblpX="2572" w:tblpY="623"/>
        <w:tblOverlap w:val="never"/>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496"/>
        <w:gridCol w:w="1529"/>
        <w:gridCol w:w="1656"/>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6" w:type="dxa"/>
          </w:tcPr>
          <w:p>
            <w:pPr>
              <w:adjustRightInd w:val="0"/>
              <w:snapToGrid w:val="0"/>
              <w:spacing w:line="360" w:lineRule="auto"/>
              <w:rPr>
                <w:rFonts w:ascii="Calibri" w:hAnsi="Calibri"/>
              </w:rPr>
            </w:pPr>
          </w:p>
        </w:tc>
        <w:tc>
          <w:tcPr>
            <w:tcW w:w="1496" w:type="dxa"/>
          </w:tcPr>
          <w:p>
            <w:pPr>
              <w:adjustRightInd w:val="0"/>
              <w:snapToGrid w:val="0"/>
              <w:spacing w:line="360" w:lineRule="auto"/>
              <w:rPr>
                <w:rFonts w:ascii="Calibri" w:hAnsi="Calibri"/>
              </w:rPr>
            </w:pPr>
            <w:r>
              <w:rPr>
                <w:rFonts w:hint="eastAsia" w:ascii="Calibri" w:hAnsi="Calibri"/>
              </w:rPr>
              <w:t>国际学术会议</w:t>
            </w:r>
          </w:p>
        </w:tc>
        <w:tc>
          <w:tcPr>
            <w:tcW w:w="1529" w:type="dxa"/>
          </w:tcPr>
          <w:p>
            <w:pPr>
              <w:adjustRightInd w:val="0"/>
              <w:snapToGrid w:val="0"/>
              <w:spacing w:line="360" w:lineRule="auto"/>
              <w:rPr>
                <w:rFonts w:ascii="Calibri" w:hAnsi="Calibri"/>
              </w:rPr>
            </w:pPr>
            <w:r>
              <w:rPr>
                <w:rFonts w:hint="eastAsia" w:ascii="Calibri" w:hAnsi="Calibri"/>
              </w:rPr>
              <w:t>全国学术会议</w:t>
            </w:r>
          </w:p>
        </w:tc>
        <w:tc>
          <w:tcPr>
            <w:tcW w:w="1656" w:type="dxa"/>
          </w:tcPr>
          <w:p>
            <w:pPr>
              <w:adjustRightInd w:val="0"/>
              <w:snapToGrid w:val="0"/>
              <w:spacing w:line="360" w:lineRule="auto"/>
              <w:rPr>
                <w:rFonts w:ascii="Calibri" w:hAnsi="Calibri"/>
              </w:rPr>
            </w:pPr>
            <w:r>
              <w:rPr>
                <w:rFonts w:hint="eastAsia" w:ascii="Calibri" w:hAnsi="Calibri"/>
              </w:rPr>
              <w:t>省内学术会议</w:t>
            </w:r>
          </w:p>
        </w:tc>
        <w:tc>
          <w:tcPr>
            <w:tcW w:w="1471" w:type="dxa"/>
          </w:tcPr>
          <w:p>
            <w:pPr>
              <w:adjustRightInd w:val="0"/>
              <w:snapToGrid w:val="0"/>
              <w:spacing w:line="360" w:lineRule="auto"/>
              <w:rPr>
                <w:rFonts w:ascii="Calibri" w:hAnsi="Calibri"/>
              </w:rPr>
            </w:pPr>
            <w:r>
              <w:rPr>
                <w:rFonts w:hint="eastAsia" w:ascii="Calibri" w:hAnsi="Calibri"/>
              </w:rPr>
              <w:t>学术讲座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6" w:type="dxa"/>
          </w:tcPr>
          <w:p>
            <w:pPr>
              <w:adjustRightInd w:val="0"/>
              <w:snapToGrid w:val="0"/>
              <w:spacing w:line="360" w:lineRule="auto"/>
              <w:rPr>
                <w:rFonts w:ascii="Calibri" w:hAnsi="Calibri"/>
              </w:rPr>
            </w:pPr>
            <w:r>
              <w:rPr>
                <w:rFonts w:hint="eastAsia" w:ascii="Calibri" w:hAnsi="Calibri"/>
              </w:rPr>
              <w:t>2016年</w:t>
            </w:r>
          </w:p>
        </w:tc>
        <w:tc>
          <w:tcPr>
            <w:tcW w:w="1496" w:type="dxa"/>
          </w:tcPr>
          <w:p>
            <w:pPr>
              <w:adjustRightInd w:val="0"/>
              <w:snapToGrid w:val="0"/>
              <w:spacing w:line="360" w:lineRule="auto"/>
              <w:ind w:firstLine="420" w:firstLineChars="200"/>
              <w:jc w:val="center"/>
              <w:rPr>
                <w:rFonts w:ascii="Calibri" w:hAnsi="Calibri"/>
              </w:rPr>
            </w:pPr>
            <w:r>
              <w:rPr>
                <w:rFonts w:hint="eastAsia" w:ascii="Calibri" w:hAnsi="Calibri"/>
              </w:rPr>
              <w:t>2</w:t>
            </w:r>
          </w:p>
        </w:tc>
        <w:tc>
          <w:tcPr>
            <w:tcW w:w="1529" w:type="dxa"/>
          </w:tcPr>
          <w:p>
            <w:pPr>
              <w:adjustRightInd w:val="0"/>
              <w:snapToGrid w:val="0"/>
              <w:spacing w:line="360" w:lineRule="auto"/>
              <w:ind w:firstLine="420" w:firstLineChars="200"/>
              <w:jc w:val="center"/>
              <w:rPr>
                <w:rFonts w:ascii="Calibri" w:hAnsi="Calibri"/>
              </w:rPr>
            </w:pPr>
            <w:r>
              <w:rPr>
                <w:rFonts w:hint="eastAsia" w:ascii="Calibri" w:hAnsi="Calibri"/>
              </w:rPr>
              <w:t>16</w:t>
            </w:r>
          </w:p>
        </w:tc>
        <w:tc>
          <w:tcPr>
            <w:tcW w:w="1656" w:type="dxa"/>
          </w:tcPr>
          <w:p>
            <w:pPr>
              <w:adjustRightInd w:val="0"/>
              <w:snapToGrid w:val="0"/>
              <w:spacing w:line="360" w:lineRule="auto"/>
              <w:ind w:firstLine="420" w:firstLineChars="200"/>
              <w:jc w:val="center"/>
              <w:rPr>
                <w:rFonts w:ascii="Calibri" w:hAnsi="Calibri"/>
              </w:rPr>
            </w:pPr>
            <w:r>
              <w:rPr>
                <w:rFonts w:hint="eastAsia" w:ascii="Calibri" w:hAnsi="Calibri"/>
              </w:rPr>
              <w:t>4</w:t>
            </w:r>
          </w:p>
        </w:tc>
        <w:tc>
          <w:tcPr>
            <w:tcW w:w="1471" w:type="dxa"/>
          </w:tcPr>
          <w:p>
            <w:pPr>
              <w:adjustRightInd w:val="0"/>
              <w:snapToGrid w:val="0"/>
              <w:spacing w:line="360" w:lineRule="auto"/>
              <w:ind w:firstLine="420" w:firstLineChars="200"/>
              <w:jc w:val="center"/>
              <w:rPr>
                <w:rFonts w:ascii="Calibri" w:hAnsi="Calibri"/>
              </w:rPr>
            </w:pPr>
            <w:r>
              <w:rPr>
                <w:rFonts w:hint="eastAsia" w:ascii="Calibri" w:hAnsi="Calibri"/>
              </w:rPr>
              <w:t>228场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6" w:type="dxa"/>
          </w:tcPr>
          <w:p>
            <w:pPr>
              <w:adjustRightInd w:val="0"/>
              <w:snapToGrid w:val="0"/>
              <w:spacing w:line="360" w:lineRule="auto"/>
              <w:rPr>
                <w:rFonts w:ascii="Calibri" w:hAnsi="Calibri"/>
              </w:rPr>
            </w:pPr>
            <w:r>
              <w:rPr>
                <w:rFonts w:hint="eastAsia" w:ascii="Calibri" w:hAnsi="Calibri"/>
              </w:rPr>
              <w:t>2017年</w:t>
            </w:r>
          </w:p>
        </w:tc>
        <w:tc>
          <w:tcPr>
            <w:tcW w:w="1496" w:type="dxa"/>
          </w:tcPr>
          <w:p>
            <w:pPr>
              <w:adjustRightInd w:val="0"/>
              <w:snapToGrid w:val="0"/>
              <w:spacing w:line="360" w:lineRule="auto"/>
              <w:ind w:firstLine="420" w:firstLineChars="200"/>
              <w:jc w:val="center"/>
              <w:rPr>
                <w:rFonts w:ascii="Calibri" w:hAnsi="Calibri"/>
              </w:rPr>
            </w:pPr>
            <w:r>
              <w:rPr>
                <w:rFonts w:hint="eastAsia" w:ascii="Calibri" w:hAnsi="Calibri"/>
              </w:rPr>
              <w:t>1</w:t>
            </w:r>
          </w:p>
        </w:tc>
        <w:tc>
          <w:tcPr>
            <w:tcW w:w="1529" w:type="dxa"/>
          </w:tcPr>
          <w:p>
            <w:pPr>
              <w:adjustRightInd w:val="0"/>
              <w:snapToGrid w:val="0"/>
              <w:spacing w:line="360" w:lineRule="auto"/>
              <w:ind w:firstLine="420" w:firstLineChars="200"/>
              <w:jc w:val="center"/>
              <w:rPr>
                <w:rFonts w:ascii="Calibri" w:hAnsi="Calibri"/>
              </w:rPr>
            </w:pPr>
            <w:r>
              <w:rPr>
                <w:rFonts w:hint="eastAsia" w:ascii="Calibri" w:hAnsi="Calibri"/>
              </w:rPr>
              <w:t>8</w:t>
            </w:r>
          </w:p>
        </w:tc>
        <w:tc>
          <w:tcPr>
            <w:tcW w:w="1656" w:type="dxa"/>
          </w:tcPr>
          <w:p>
            <w:pPr>
              <w:adjustRightInd w:val="0"/>
              <w:snapToGrid w:val="0"/>
              <w:spacing w:line="360" w:lineRule="auto"/>
              <w:ind w:firstLine="420" w:firstLineChars="200"/>
              <w:jc w:val="center"/>
              <w:rPr>
                <w:rFonts w:ascii="Calibri" w:hAnsi="Calibri"/>
              </w:rPr>
            </w:pPr>
            <w:r>
              <w:rPr>
                <w:rFonts w:hint="eastAsia" w:ascii="Calibri" w:hAnsi="Calibri"/>
              </w:rPr>
              <w:t>5</w:t>
            </w:r>
          </w:p>
        </w:tc>
        <w:tc>
          <w:tcPr>
            <w:tcW w:w="1471" w:type="dxa"/>
          </w:tcPr>
          <w:p>
            <w:pPr>
              <w:adjustRightInd w:val="0"/>
              <w:snapToGrid w:val="0"/>
              <w:spacing w:line="360" w:lineRule="auto"/>
              <w:ind w:firstLine="420" w:firstLineChars="200"/>
              <w:jc w:val="center"/>
              <w:rPr>
                <w:rFonts w:ascii="Calibri" w:hAnsi="Calibri"/>
              </w:rPr>
            </w:pPr>
            <w:r>
              <w:rPr>
                <w:rFonts w:hint="eastAsia" w:ascii="Calibri" w:hAnsi="Calibri"/>
              </w:rPr>
              <w:t>230场</w:t>
            </w:r>
          </w:p>
        </w:tc>
      </w:tr>
    </w:tbl>
    <w:p>
      <w:pPr>
        <w:adjustRightInd w:val="0"/>
        <w:snapToGrid w:val="0"/>
        <w:spacing w:line="360" w:lineRule="auto"/>
        <w:rPr>
          <w:rFonts w:ascii="仿宋_GB2312" w:hAnsi="仿宋" w:eastAsia="仿宋_GB2312" w:cs="仿宋"/>
          <w:b/>
          <w:bCs/>
          <w:sz w:val="32"/>
          <w:szCs w:val="32"/>
        </w:rPr>
      </w:pPr>
    </w:p>
    <w:p>
      <w:pPr>
        <w:adjustRightInd w:val="0"/>
        <w:snapToGrid w:val="0"/>
        <w:spacing w:line="360" w:lineRule="auto"/>
        <w:ind w:firstLine="643" w:firstLineChars="200"/>
        <w:rPr>
          <w:rFonts w:ascii="仿宋_GB2312" w:hAnsi="仿宋" w:eastAsia="仿宋_GB2312" w:cs="仿宋"/>
          <w:b/>
          <w:bCs/>
          <w:sz w:val="32"/>
          <w:szCs w:val="32"/>
        </w:rPr>
      </w:pPr>
      <w:r>
        <w:rPr>
          <w:rFonts w:hint="eastAsia" w:ascii="仿宋_GB2312" w:hAnsi="仿宋" w:eastAsia="仿宋_GB2312" w:cs="仿宋"/>
          <w:b/>
          <w:bCs/>
          <w:sz w:val="32"/>
          <w:szCs w:val="32"/>
        </w:rPr>
        <w:t>7</w:t>
      </w:r>
    </w:p>
    <w:p>
      <w:pPr>
        <w:adjustRightInd w:val="0"/>
        <w:snapToGrid w:val="0"/>
        <w:spacing w:line="360" w:lineRule="auto"/>
        <w:ind w:firstLine="643" w:firstLineChars="200"/>
        <w:rPr>
          <w:rFonts w:ascii="仿宋_GB2312" w:hAnsi="仿宋" w:eastAsia="仿宋_GB2312" w:cs="仿宋"/>
          <w:b/>
          <w:bCs/>
          <w:sz w:val="32"/>
          <w:szCs w:val="32"/>
        </w:rPr>
      </w:pPr>
    </w:p>
    <w:p>
      <w:pPr>
        <w:adjustRightInd w:val="0"/>
        <w:snapToGrid w:val="0"/>
        <w:spacing w:line="360" w:lineRule="auto"/>
        <w:ind w:firstLine="643" w:firstLineChars="200"/>
        <w:rPr>
          <w:rFonts w:ascii="仿宋_GB2312" w:hAnsi="仿宋" w:eastAsia="仿宋_GB2312" w:cs="仿宋"/>
          <w:b/>
          <w:bCs/>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六</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其他方面</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摸清目前我校科研发展中存在的问题，从学校和院系两个层面把握科研工作症结，提出深化科研工作放管服改革方案。2017年，科研处全体工作人员在冯玉军副校长带领下，赴各学院、中心、研究所开展了系列科研工作摸底调研工作，并对相关调研结果汇总整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为推进双一流建设和争博尽快实现并维持，为提升我校青年博士学术水平、营造浓厚学术氛围，本着全校学术资源共享的原则，在“经贸青椒博士圈”微信群的基础上组织成立河北经贸大学“青教博士圈”学术组织，定期举行“经贸青教Seminar”，建立一个青年教师、新进博士学术交流与合作的平台，受到青年教师的广泛好评，营造了良好的学术氛围，推动了学校的科研发展，有效提升了我校整体科研水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年，科研处班子在主管校领导的带领下砥砺前行，但还有很多不尽如人意的地方，例如高层次成果、高层次课题、高层次批示数量过少，接下来，我们会更加团结务实，为我校科研工作上升一个新的台阶而努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auto"/>
    <w:pitch w:val="default"/>
    <w:sig w:usb0="00007A87" w:usb1="80000000" w:usb2="00000008" w:usb3="00000000" w:csb0="400001FF" w:csb1="FFFF0000"/>
  </w:font>
  <w:font w:name="Arial">
    <w:panose1 w:val="020B0604020202020204"/>
    <w:charset w:val="00"/>
    <w:family w:val="auto"/>
    <w:pitch w:val="default"/>
    <w:sig w:usb0="00007A87" w:usb1="80000000" w:usb2="00000008" w:usb3="00000000" w:csb0="400001FF" w:csb1="FFFF0000"/>
  </w:font>
  <w:font w:name="仿宋">
    <w:altName w:val="Arial Unicode MS"/>
    <w:panose1 w:val="02010609060101010101"/>
    <w:charset w:val="86"/>
    <w:family w:val="modern"/>
    <w:pitch w:val="default"/>
    <w:sig w:usb0="00000000" w:usb1="00000000" w:usb2="00000016" w:usb3="00000000" w:csb0="00040001" w:csb1="00000000"/>
  </w:font>
  <w:font w:name="黑体">
    <w:panose1 w:val="02010600030101010101"/>
    <w:charset w:val="50"/>
    <w:family w:val="auto"/>
    <w:pitch w:val="default"/>
    <w:sig w:usb0="00000001" w:usb1="080E0000" w:usb2="00000000" w:usb3="00000000" w:csb0="00040000" w:csb1="00000000"/>
  </w:font>
  <w:font w:name="楷体">
    <w:altName w:val="楷体_GB2312"/>
    <w:panose1 w:val="02010609060101010101"/>
    <w:charset w:val="50"/>
    <w:family w:val="auto"/>
    <w:pitch w:val="default"/>
    <w:sig w:usb0="00000000" w:usb1="00000000"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华文仿宋">
    <w:panose1 w:val="02010600040101010101"/>
    <w:charset w:val="50"/>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50"/>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5D"/>
    <w:rsid w:val="00002211"/>
    <w:rsid w:val="00005B70"/>
    <w:rsid w:val="00007E2B"/>
    <w:rsid w:val="00024D3A"/>
    <w:rsid w:val="00026A3A"/>
    <w:rsid w:val="00032CF7"/>
    <w:rsid w:val="0004656A"/>
    <w:rsid w:val="00050D98"/>
    <w:rsid w:val="000856E7"/>
    <w:rsid w:val="000B1CBE"/>
    <w:rsid w:val="000B5CC3"/>
    <w:rsid w:val="000C0BAC"/>
    <w:rsid w:val="000D6E2D"/>
    <w:rsid w:val="00147A43"/>
    <w:rsid w:val="00152D2A"/>
    <w:rsid w:val="0016492B"/>
    <w:rsid w:val="00172A27"/>
    <w:rsid w:val="001846E1"/>
    <w:rsid w:val="00194145"/>
    <w:rsid w:val="001A2460"/>
    <w:rsid w:val="001B72E0"/>
    <w:rsid w:val="001C3601"/>
    <w:rsid w:val="001D0BE2"/>
    <w:rsid w:val="002057A9"/>
    <w:rsid w:val="00212E9A"/>
    <w:rsid w:val="00220C5C"/>
    <w:rsid w:val="00223752"/>
    <w:rsid w:val="00257260"/>
    <w:rsid w:val="002773D2"/>
    <w:rsid w:val="00283258"/>
    <w:rsid w:val="0028707C"/>
    <w:rsid w:val="00287440"/>
    <w:rsid w:val="00295727"/>
    <w:rsid w:val="002C05C4"/>
    <w:rsid w:val="002D3772"/>
    <w:rsid w:val="002D6D03"/>
    <w:rsid w:val="002E3A4D"/>
    <w:rsid w:val="002F176A"/>
    <w:rsid w:val="00307506"/>
    <w:rsid w:val="00312652"/>
    <w:rsid w:val="00335E2F"/>
    <w:rsid w:val="00347519"/>
    <w:rsid w:val="00381843"/>
    <w:rsid w:val="00381D20"/>
    <w:rsid w:val="003942CC"/>
    <w:rsid w:val="0039715B"/>
    <w:rsid w:val="003B6608"/>
    <w:rsid w:val="003B7D79"/>
    <w:rsid w:val="003C62F9"/>
    <w:rsid w:val="003D53D3"/>
    <w:rsid w:val="003E3824"/>
    <w:rsid w:val="003E4B12"/>
    <w:rsid w:val="003E597F"/>
    <w:rsid w:val="004006A4"/>
    <w:rsid w:val="00401418"/>
    <w:rsid w:val="00434F5D"/>
    <w:rsid w:val="00435A3F"/>
    <w:rsid w:val="0043622F"/>
    <w:rsid w:val="004423F7"/>
    <w:rsid w:val="0045326D"/>
    <w:rsid w:val="00457894"/>
    <w:rsid w:val="0047605E"/>
    <w:rsid w:val="00482218"/>
    <w:rsid w:val="00487C03"/>
    <w:rsid w:val="00490B51"/>
    <w:rsid w:val="00490DB0"/>
    <w:rsid w:val="004A171E"/>
    <w:rsid w:val="004A2971"/>
    <w:rsid w:val="004C6C61"/>
    <w:rsid w:val="004C76EC"/>
    <w:rsid w:val="004C7D1F"/>
    <w:rsid w:val="004D1507"/>
    <w:rsid w:val="004E791C"/>
    <w:rsid w:val="00523BA7"/>
    <w:rsid w:val="00526D67"/>
    <w:rsid w:val="00531DBE"/>
    <w:rsid w:val="00532144"/>
    <w:rsid w:val="00557A72"/>
    <w:rsid w:val="00571070"/>
    <w:rsid w:val="00592DF9"/>
    <w:rsid w:val="005B4F55"/>
    <w:rsid w:val="005C2E10"/>
    <w:rsid w:val="005C44B2"/>
    <w:rsid w:val="005D3679"/>
    <w:rsid w:val="005E2974"/>
    <w:rsid w:val="005E5BFE"/>
    <w:rsid w:val="005F09C8"/>
    <w:rsid w:val="006455A3"/>
    <w:rsid w:val="00651248"/>
    <w:rsid w:val="00657D67"/>
    <w:rsid w:val="00662523"/>
    <w:rsid w:val="00664BC0"/>
    <w:rsid w:val="006B0936"/>
    <w:rsid w:val="006D15D6"/>
    <w:rsid w:val="006D4BAA"/>
    <w:rsid w:val="006F1AAA"/>
    <w:rsid w:val="0070205A"/>
    <w:rsid w:val="007075EF"/>
    <w:rsid w:val="00710B27"/>
    <w:rsid w:val="0073229B"/>
    <w:rsid w:val="00736A1B"/>
    <w:rsid w:val="00770C74"/>
    <w:rsid w:val="007D7802"/>
    <w:rsid w:val="007F287B"/>
    <w:rsid w:val="007F7EC1"/>
    <w:rsid w:val="00810E09"/>
    <w:rsid w:val="00813BF0"/>
    <w:rsid w:val="0082735A"/>
    <w:rsid w:val="0083776B"/>
    <w:rsid w:val="0084155B"/>
    <w:rsid w:val="0086410D"/>
    <w:rsid w:val="008A4D35"/>
    <w:rsid w:val="008B74E0"/>
    <w:rsid w:val="008C5455"/>
    <w:rsid w:val="008E389B"/>
    <w:rsid w:val="008E4E75"/>
    <w:rsid w:val="008F06C0"/>
    <w:rsid w:val="00902601"/>
    <w:rsid w:val="00915786"/>
    <w:rsid w:val="00940E6D"/>
    <w:rsid w:val="00961A69"/>
    <w:rsid w:val="00980E8C"/>
    <w:rsid w:val="00992E77"/>
    <w:rsid w:val="00995A61"/>
    <w:rsid w:val="009A181E"/>
    <w:rsid w:val="009A1D12"/>
    <w:rsid w:val="009C4E92"/>
    <w:rsid w:val="009E7BA5"/>
    <w:rsid w:val="00A03BE0"/>
    <w:rsid w:val="00A44BE8"/>
    <w:rsid w:val="00A50660"/>
    <w:rsid w:val="00A51747"/>
    <w:rsid w:val="00A60138"/>
    <w:rsid w:val="00A63DD4"/>
    <w:rsid w:val="00A724FB"/>
    <w:rsid w:val="00A75724"/>
    <w:rsid w:val="00A92E21"/>
    <w:rsid w:val="00A95A5D"/>
    <w:rsid w:val="00AA5E11"/>
    <w:rsid w:val="00AB7AE8"/>
    <w:rsid w:val="00AC351A"/>
    <w:rsid w:val="00AD35AF"/>
    <w:rsid w:val="00AE37C9"/>
    <w:rsid w:val="00AF44CB"/>
    <w:rsid w:val="00AF668D"/>
    <w:rsid w:val="00B065E1"/>
    <w:rsid w:val="00B1797D"/>
    <w:rsid w:val="00B5451D"/>
    <w:rsid w:val="00B57ECF"/>
    <w:rsid w:val="00B65822"/>
    <w:rsid w:val="00B6616C"/>
    <w:rsid w:val="00BA5BC4"/>
    <w:rsid w:val="00BF55E7"/>
    <w:rsid w:val="00C14F09"/>
    <w:rsid w:val="00C16F23"/>
    <w:rsid w:val="00C2413E"/>
    <w:rsid w:val="00C33005"/>
    <w:rsid w:val="00C3496D"/>
    <w:rsid w:val="00C43548"/>
    <w:rsid w:val="00C51EB1"/>
    <w:rsid w:val="00C5531C"/>
    <w:rsid w:val="00C611B1"/>
    <w:rsid w:val="00C77964"/>
    <w:rsid w:val="00C815A5"/>
    <w:rsid w:val="00CB3767"/>
    <w:rsid w:val="00D03059"/>
    <w:rsid w:val="00D25D97"/>
    <w:rsid w:val="00D37EB7"/>
    <w:rsid w:val="00D40C3E"/>
    <w:rsid w:val="00D41A32"/>
    <w:rsid w:val="00D41EC1"/>
    <w:rsid w:val="00D476F7"/>
    <w:rsid w:val="00D518DE"/>
    <w:rsid w:val="00D712FD"/>
    <w:rsid w:val="00D76943"/>
    <w:rsid w:val="00DA5FE0"/>
    <w:rsid w:val="00DA6AF9"/>
    <w:rsid w:val="00DD67E4"/>
    <w:rsid w:val="00DF2240"/>
    <w:rsid w:val="00DF3434"/>
    <w:rsid w:val="00DF641C"/>
    <w:rsid w:val="00E060E6"/>
    <w:rsid w:val="00E11571"/>
    <w:rsid w:val="00E122F3"/>
    <w:rsid w:val="00E15FEB"/>
    <w:rsid w:val="00E22D6E"/>
    <w:rsid w:val="00E3441C"/>
    <w:rsid w:val="00E412E7"/>
    <w:rsid w:val="00E43310"/>
    <w:rsid w:val="00E67D23"/>
    <w:rsid w:val="00E75128"/>
    <w:rsid w:val="00E86A78"/>
    <w:rsid w:val="00EB674D"/>
    <w:rsid w:val="00ED1FA0"/>
    <w:rsid w:val="00EE64A8"/>
    <w:rsid w:val="00F15CA4"/>
    <w:rsid w:val="00F30082"/>
    <w:rsid w:val="00F3461D"/>
    <w:rsid w:val="00F50246"/>
    <w:rsid w:val="00F523F9"/>
    <w:rsid w:val="00F53E50"/>
    <w:rsid w:val="00F8191C"/>
    <w:rsid w:val="00F82F0A"/>
    <w:rsid w:val="00F87922"/>
    <w:rsid w:val="00F90ED7"/>
    <w:rsid w:val="00FA5A88"/>
    <w:rsid w:val="00FB0396"/>
    <w:rsid w:val="00FD091A"/>
    <w:rsid w:val="00FD7920"/>
    <w:rsid w:val="00FE13DA"/>
    <w:rsid w:val="017B7A77"/>
    <w:rsid w:val="03A2126A"/>
    <w:rsid w:val="03E04B6A"/>
    <w:rsid w:val="0A9B50A0"/>
    <w:rsid w:val="0B905A4B"/>
    <w:rsid w:val="0DB01BE8"/>
    <w:rsid w:val="0E0557F0"/>
    <w:rsid w:val="0F4C4758"/>
    <w:rsid w:val="10FD29EF"/>
    <w:rsid w:val="12AD0E29"/>
    <w:rsid w:val="14DB7D03"/>
    <w:rsid w:val="14FD557A"/>
    <w:rsid w:val="162044ED"/>
    <w:rsid w:val="174319A1"/>
    <w:rsid w:val="1BBE1F71"/>
    <w:rsid w:val="1DCD494E"/>
    <w:rsid w:val="1F8A4B9E"/>
    <w:rsid w:val="21FB04CE"/>
    <w:rsid w:val="22B94C5C"/>
    <w:rsid w:val="23856D9B"/>
    <w:rsid w:val="30EC68F9"/>
    <w:rsid w:val="32F639D7"/>
    <w:rsid w:val="3474329C"/>
    <w:rsid w:val="34CD72A6"/>
    <w:rsid w:val="36DD4ABA"/>
    <w:rsid w:val="37203F05"/>
    <w:rsid w:val="376513F0"/>
    <w:rsid w:val="3B5D40B7"/>
    <w:rsid w:val="3BD95A5A"/>
    <w:rsid w:val="3C762EF8"/>
    <w:rsid w:val="3D97091B"/>
    <w:rsid w:val="3F8E3A85"/>
    <w:rsid w:val="3FB74296"/>
    <w:rsid w:val="414A2848"/>
    <w:rsid w:val="415C7774"/>
    <w:rsid w:val="452B7199"/>
    <w:rsid w:val="465C18E5"/>
    <w:rsid w:val="46EB2C18"/>
    <w:rsid w:val="4C1F760A"/>
    <w:rsid w:val="4C5275C3"/>
    <w:rsid w:val="4DAC5F9A"/>
    <w:rsid w:val="5273512D"/>
    <w:rsid w:val="537C2337"/>
    <w:rsid w:val="54665A8F"/>
    <w:rsid w:val="55E05024"/>
    <w:rsid w:val="577940C0"/>
    <w:rsid w:val="58CD1F3D"/>
    <w:rsid w:val="5BA31771"/>
    <w:rsid w:val="5DCF1600"/>
    <w:rsid w:val="5E9012B2"/>
    <w:rsid w:val="61241126"/>
    <w:rsid w:val="636B232C"/>
    <w:rsid w:val="64C55E2D"/>
    <w:rsid w:val="660157E8"/>
    <w:rsid w:val="66655218"/>
    <w:rsid w:val="66B3044C"/>
    <w:rsid w:val="6887607B"/>
    <w:rsid w:val="6C6767C6"/>
    <w:rsid w:val="6CBF25A1"/>
    <w:rsid w:val="6CCC3C0D"/>
    <w:rsid w:val="71EA6460"/>
    <w:rsid w:val="72193DBF"/>
    <w:rsid w:val="723F29AB"/>
    <w:rsid w:val="734D6F8B"/>
    <w:rsid w:val="7374641C"/>
    <w:rsid w:val="76FE2609"/>
    <w:rsid w:val="772634A0"/>
    <w:rsid w:val="776D4D9A"/>
    <w:rsid w:val="783201C2"/>
    <w:rsid w:val="7AA94203"/>
    <w:rsid w:val="7D7035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44"/>
    <w:unhideWhenUsed/>
    <w:qFormat/>
    <w:uiPriority w:val="0"/>
    <w:pPr>
      <w:keepNext/>
      <w:keepLines/>
      <w:spacing w:before="260" w:after="260" w:line="416" w:lineRule="auto"/>
      <w:outlineLvl w:val="2"/>
    </w:pPr>
    <w:rPr>
      <w:b/>
      <w:bCs/>
      <w:sz w:val="32"/>
      <w:szCs w:val="32"/>
    </w:rPr>
  </w:style>
  <w:style w:type="character" w:default="1" w:styleId="10">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semiHidden/>
    <w:qFormat/>
    <w:uiPriority w:val="0"/>
    <w:rPr>
      <w:b/>
      <w:bCs/>
    </w:rPr>
  </w:style>
  <w:style w:type="paragraph" w:styleId="5">
    <w:name w:val="annotation text"/>
    <w:basedOn w:val="1"/>
    <w:semiHidden/>
    <w:qFormat/>
    <w:uiPriority w:val="0"/>
    <w:pPr>
      <w:jc w:val="left"/>
    </w:p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kern w:val="0"/>
      <w:sz w:val="24"/>
    </w:rPr>
  </w:style>
  <w:style w:type="character" w:styleId="11">
    <w:name w:val="Strong"/>
    <w:qFormat/>
    <w:uiPriority w:val="0"/>
    <w:rPr>
      <w:rFonts w:hint="default"/>
      <w:b/>
    </w:rPr>
  </w:style>
  <w:style w:type="character" w:styleId="12">
    <w:name w:val="page number"/>
    <w:basedOn w:val="10"/>
    <w:qFormat/>
    <w:uiPriority w:val="0"/>
    <w:rPr>
      <w:rFonts w:ascii="仿宋_GB2312" w:eastAsia="仿宋_GB2312"/>
      <w:b/>
      <w:sz w:val="32"/>
      <w:szCs w:val="32"/>
    </w:rPr>
  </w:style>
  <w:style w:type="character" w:styleId="13">
    <w:name w:val="FollowedHyperlink"/>
    <w:basedOn w:val="10"/>
    <w:qFormat/>
    <w:uiPriority w:val="0"/>
    <w:rPr>
      <w:rFonts w:hint="default" w:ascii="仿宋_GB2312" w:eastAsia="仿宋_GB2312"/>
      <w:b/>
      <w:color w:val="003562"/>
      <w:sz w:val="32"/>
      <w:szCs w:val="32"/>
      <w:u w:val="none"/>
    </w:rPr>
  </w:style>
  <w:style w:type="character" w:styleId="14">
    <w:name w:val="Emphasis"/>
    <w:qFormat/>
    <w:uiPriority w:val="0"/>
    <w:rPr>
      <w:rFonts w:hint="default"/>
      <w:i/>
    </w:rPr>
  </w:style>
  <w:style w:type="character" w:styleId="15">
    <w:name w:val="Hyperlink"/>
    <w:basedOn w:val="10"/>
    <w:qFormat/>
    <w:uiPriority w:val="0"/>
    <w:rPr>
      <w:rFonts w:hint="default" w:ascii="仿宋_GB2312" w:eastAsia="仿宋_GB2312"/>
      <w:b/>
      <w:color w:val="003562"/>
      <w:sz w:val="32"/>
      <w:szCs w:val="32"/>
      <w:u w:val="none"/>
    </w:rPr>
  </w:style>
  <w:style w:type="character" w:styleId="16">
    <w:name w:val="annotation reference"/>
    <w:basedOn w:val="10"/>
    <w:semiHidden/>
    <w:qFormat/>
    <w:uiPriority w:val="0"/>
    <w:rPr>
      <w:rFonts w:ascii="仿宋_GB2312" w:eastAsia="仿宋_GB2312"/>
      <w:b/>
      <w:sz w:val="21"/>
      <w:szCs w:val="21"/>
    </w:rPr>
  </w:style>
  <w:style w:type="table" w:styleId="18">
    <w:name w:val="Table Grid"/>
    <w:basedOn w:val="1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Keyboard"/>
    <w:unhideWhenUsed/>
    <w:qFormat/>
    <w:uiPriority w:val="99"/>
    <w:rPr>
      <w:rFonts w:hint="default" w:ascii="Courier New" w:hAnsi="Courier New" w:eastAsia="Courier New"/>
      <w:b/>
    </w:rPr>
  </w:style>
  <w:style w:type="character" w:customStyle="1" w:styleId="20">
    <w:name w:val="Definition"/>
    <w:unhideWhenUsed/>
    <w:qFormat/>
    <w:uiPriority w:val="99"/>
    <w:rPr>
      <w:rFonts w:hint="default"/>
      <w:i/>
    </w:rPr>
  </w:style>
  <w:style w:type="character" w:customStyle="1" w:styleId="21">
    <w:name w:val="CODE"/>
    <w:unhideWhenUsed/>
    <w:qFormat/>
    <w:uiPriority w:val="99"/>
    <w:rPr>
      <w:rFonts w:hint="default" w:ascii="Courier New" w:hAnsi="Courier New" w:eastAsia="Courier New"/>
    </w:rPr>
  </w:style>
  <w:style w:type="character" w:customStyle="1" w:styleId="22">
    <w:name w:val="CITE"/>
    <w:unhideWhenUsed/>
    <w:qFormat/>
    <w:uiPriority w:val="99"/>
    <w:rPr>
      <w:rFonts w:hint="default"/>
      <w:i/>
    </w:rPr>
  </w:style>
  <w:style w:type="character" w:customStyle="1" w:styleId="23">
    <w:name w:val="HTML Markup"/>
    <w:unhideWhenUsed/>
    <w:qFormat/>
    <w:uiPriority w:val="99"/>
    <w:rPr>
      <w:rFonts w:hint="default"/>
      <w:vanish/>
      <w:color w:val="FF0000"/>
    </w:rPr>
  </w:style>
  <w:style w:type="character" w:customStyle="1" w:styleId="24">
    <w:name w:val="Typewriter"/>
    <w:unhideWhenUsed/>
    <w:qFormat/>
    <w:uiPriority w:val="99"/>
    <w:rPr>
      <w:rFonts w:hint="default" w:ascii="Courier New" w:hAnsi="Courier New" w:eastAsia="Courier New"/>
    </w:rPr>
  </w:style>
  <w:style w:type="character" w:customStyle="1" w:styleId="25">
    <w:name w:val="Variable"/>
    <w:unhideWhenUsed/>
    <w:qFormat/>
    <w:uiPriority w:val="99"/>
    <w:rPr>
      <w:rFonts w:hint="default"/>
      <w:i/>
    </w:rPr>
  </w:style>
  <w:style w:type="character" w:customStyle="1" w:styleId="26">
    <w:name w:val="Comment"/>
    <w:unhideWhenUsed/>
    <w:qFormat/>
    <w:uiPriority w:val="99"/>
    <w:rPr>
      <w:rFonts w:hint="default"/>
      <w:vanish/>
    </w:rPr>
  </w:style>
  <w:style w:type="character" w:customStyle="1" w:styleId="27">
    <w:name w:val="Sample"/>
    <w:unhideWhenUsed/>
    <w:qFormat/>
    <w:uiPriority w:val="99"/>
    <w:rPr>
      <w:rFonts w:hint="default" w:ascii="Courier New" w:hAnsi="Courier New" w:eastAsia="Courier New"/>
    </w:rPr>
  </w:style>
  <w:style w:type="paragraph" w:customStyle="1" w:styleId="28">
    <w:name w:val="H5"/>
    <w:basedOn w:val="1"/>
    <w:next w:val="1"/>
    <w:unhideWhenUsed/>
    <w:qFormat/>
    <w:uiPriority w:val="99"/>
    <w:pPr>
      <w:keepNext/>
      <w:outlineLvl w:val="5"/>
    </w:pPr>
    <w:rPr>
      <w:b/>
    </w:rPr>
  </w:style>
  <w:style w:type="paragraph" w:customStyle="1" w:styleId="29">
    <w:name w:val="Blockquote"/>
    <w:basedOn w:val="1"/>
    <w:unhideWhenUsed/>
    <w:qFormat/>
    <w:uiPriority w:val="99"/>
    <w:pPr>
      <w:ind w:left="360" w:right="360"/>
    </w:pPr>
  </w:style>
  <w:style w:type="paragraph" w:customStyle="1" w:styleId="30">
    <w:name w:val="H1"/>
    <w:basedOn w:val="1"/>
    <w:next w:val="1"/>
    <w:unhideWhenUsed/>
    <w:qFormat/>
    <w:uiPriority w:val="99"/>
    <w:pPr>
      <w:keepNext/>
      <w:outlineLvl w:val="1"/>
    </w:pPr>
    <w:rPr>
      <w:b/>
      <w:kern w:val="36"/>
      <w:sz w:val="48"/>
    </w:rPr>
  </w:style>
  <w:style w:type="paragraph" w:customStyle="1" w:styleId="31">
    <w:name w:val="Definition List"/>
    <w:basedOn w:val="1"/>
    <w:next w:val="32"/>
    <w:unhideWhenUsed/>
    <w:qFormat/>
    <w:uiPriority w:val="99"/>
    <w:pPr>
      <w:ind w:left="360"/>
    </w:pPr>
  </w:style>
  <w:style w:type="paragraph" w:customStyle="1" w:styleId="32">
    <w:name w:val="Definition Term"/>
    <w:basedOn w:val="1"/>
    <w:next w:val="31"/>
    <w:unhideWhenUsed/>
    <w:qFormat/>
    <w:uiPriority w:val="99"/>
  </w:style>
  <w:style w:type="paragraph" w:customStyle="1" w:styleId="33">
    <w:name w:val="z-Top of Form"/>
    <w:next w:val="1"/>
    <w:unhideWhenUsed/>
    <w:qFormat/>
    <w:uiPriority w:val="99"/>
    <w:pPr>
      <w:widowControl w:val="0"/>
      <w:pBdr>
        <w:bottom w:val="double" w:color="000000" w:sz="2" w:space="0"/>
      </w:pBdr>
      <w:autoSpaceDE w:val="0"/>
      <w:autoSpaceDN w:val="0"/>
      <w:jc w:val="center"/>
    </w:pPr>
    <w:rPr>
      <w:rFonts w:ascii="Arial" w:hAnsi="Arial" w:eastAsia="Arial" w:cs="Times New Roman"/>
      <w:vanish/>
      <w:sz w:val="16"/>
      <w:lang w:val="en-US" w:eastAsia="zh-CN" w:bidi="ar-SA"/>
    </w:rPr>
  </w:style>
  <w:style w:type="paragraph" w:customStyle="1" w:styleId="34">
    <w:name w:val="H2"/>
    <w:basedOn w:val="1"/>
    <w:next w:val="1"/>
    <w:unhideWhenUsed/>
    <w:qFormat/>
    <w:uiPriority w:val="99"/>
    <w:pPr>
      <w:keepNext/>
      <w:outlineLvl w:val="2"/>
    </w:pPr>
    <w:rPr>
      <w:b/>
      <w:sz w:val="36"/>
    </w:rPr>
  </w:style>
  <w:style w:type="paragraph" w:customStyle="1" w:styleId="35">
    <w:name w:val="普通(网站)1"/>
    <w:basedOn w:val="1"/>
    <w:qFormat/>
    <w:uiPriority w:val="0"/>
    <w:pPr>
      <w:spacing w:before="100" w:beforeAutospacing="1" w:after="100" w:afterAutospacing="1"/>
    </w:pPr>
    <w:rPr>
      <w:rFonts w:ascii="宋体" w:hAnsi="宋体" w:cs="宋体"/>
      <w:sz w:val="24"/>
    </w:rPr>
  </w:style>
  <w:style w:type="paragraph" w:customStyle="1" w:styleId="36">
    <w:name w:val="H4"/>
    <w:basedOn w:val="1"/>
    <w:next w:val="1"/>
    <w:unhideWhenUsed/>
    <w:qFormat/>
    <w:uiPriority w:val="99"/>
    <w:pPr>
      <w:keepNext/>
      <w:outlineLvl w:val="4"/>
    </w:pPr>
    <w:rPr>
      <w:b/>
      <w:sz w:val="24"/>
    </w:rPr>
  </w:style>
  <w:style w:type="paragraph" w:customStyle="1" w:styleId="37">
    <w:name w:val="z-Bottom of Form"/>
    <w:next w:val="1"/>
    <w:unhideWhenUsed/>
    <w:qFormat/>
    <w:uiPriority w:val="99"/>
    <w:pPr>
      <w:widowControl w:val="0"/>
      <w:pBdr>
        <w:top w:val="double" w:color="000000" w:sz="2" w:space="0"/>
      </w:pBdr>
      <w:autoSpaceDE w:val="0"/>
      <w:autoSpaceDN w:val="0"/>
      <w:jc w:val="center"/>
    </w:pPr>
    <w:rPr>
      <w:rFonts w:ascii="Arial" w:hAnsi="Arial" w:eastAsia="Arial" w:cs="Times New Roman"/>
      <w:vanish/>
      <w:sz w:val="16"/>
      <w:lang w:val="en-US" w:eastAsia="zh-CN" w:bidi="ar-SA"/>
    </w:rPr>
  </w:style>
  <w:style w:type="paragraph" w:customStyle="1" w:styleId="38">
    <w:name w:val="Preformatted"/>
    <w:basedOn w:val="1"/>
    <w:unhideWhenUsed/>
    <w:qFormat/>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eastAsia="Courier New"/>
    </w:rPr>
  </w:style>
  <w:style w:type="paragraph" w:customStyle="1" w:styleId="39">
    <w:name w:val="Char Char Char Char"/>
    <w:basedOn w:val="1"/>
    <w:qFormat/>
    <w:uiPriority w:val="0"/>
    <w:rPr>
      <w:rFonts w:ascii="仿宋_GB2312" w:eastAsia="仿宋_GB2312"/>
      <w:b/>
      <w:sz w:val="32"/>
      <w:szCs w:val="32"/>
    </w:rPr>
  </w:style>
  <w:style w:type="paragraph" w:customStyle="1" w:styleId="40">
    <w:name w:val="列出段落1"/>
    <w:basedOn w:val="1"/>
    <w:qFormat/>
    <w:uiPriority w:val="34"/>
    <w:pPr>
      <w:ind w:firstLine="420" w:firstLineChars="200"/>
    </w:pPr>
  </w:style>
  <w:style w:type="paragraph" w:customStyle="1" w:styleId="41">
    <w:name w:val="H3"/>
    <w:basedOn w:val="1"/>
    <w:next w:val="1"/>
    <w:unhideWhenUsed/>
    <w:qFormat/>
    <w:uiPriority w:val="99"/>
    <w:pPr>
      <w:keepNext/>
      <w:outlineLvl w:val="3"/>
    </w:pPr>
    <w:rPr>
      <w:b/>
      <w:sz w:val="28"/>
    </w:rPr>
  </w:style>
  <w:style w:type="paragraph" w:customStyle="1" w:styleId="42">
    <w:name w:val="H6"/>
    <w:basedOn w:val="1"/>
    <w:next w:val="1"/>
    <w:unhideWhenUsed/>
    <w:qFormat/>
    <w:uiPriority w:val="99"/>
    <w:pPr>
      <w:keepNext/>
      <w:outlineLvl w:val="6"/>
    </w:pPr>
    <w:rPr>
      <w:b/>
      <w:sz w:val="16"/>
    </w:rPr>
  </w:style>
  <w:style w:type="paragraph" w:customStyle="1" w:styleId="43">
    <w:name w:val="Address"/>
    <w:basedOn w:val="1"/>
    <w:next w:val="1"/>
    <w:unhideWhenUsed/>
    <w:qFormat/>
    <w:uiPriority w:val="99"/>
    <w:rPr>
      <w:i/>
    </w:rPr>
  </w:style>
  <w:style w:type="character" w:customStyle="1" w:styleId="44">
    <w:name w:val="标题 3字符"/>
    <w:basedOn w:val="10"/>
    <w:link w:val="3"/>
    <w:qFormat/>
    <w:uiPriority w:val="99"/>
    <w:rPr>
      <w:b/>
      <w:bCs/>
      <w:kern w:val="2"/>
      <w:sz w:val="32"/>
      <w:szCs w:val="32"/>
    </w:rPr>
  </w:style>
  <w:style w:type="character" w:customStyle="1" w:styleId="45">
    <w:name w:val="bsharetext"/>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E82099-9FEB-2348-9ADD-BB1CDAF00BF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852</Words>
  <Characters>4858</Characters>
  <Lines>40</Lines>
  <Paragraphs>11</Paragraphs>
  <ScaleCrop>false</ScaleCrop>
  <LinksUpToDate>false</LinksUpToDate>
  <CharactersWithSpaces>5699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2015-09-21T09:14:00Z</dcterms:created>
  <dc:creator>Chinese User</dc:creator>
  <cp:lastModifiedBy>l</cp:lastModifiedBy>
  <cp:lastPrinted>2014-12-01T05:50:00Z</cp:lastPrinted>
  <dcterms:modified xsi:type="dcterms:W3CDTF">2017-12-25T08:20:06Z</dcterms:modified>
  <dc:title>2012年科研工作总结及2013年度工作计划</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